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9CE" w:rsidRPr="002219CE" w:rsidRDefault="002219CE" w:rsidP="002219CE">
      <w:pPr>
        <w:spacing w:after="0" w:line="240" w:lineRule="auto"/>
        <w:rPr>
          <w:rFonts w:ascii="Verdana" w:eastAsia="Times New Roman" w:hAnsi="Verdana" w:cs="Times New Roman"/>
          <w:color w:val="655A41"/>
          <w:sz w:val="18"/>
          <w:szCs w:val="18"/>
        </w:rPr>
      </w:pPr>
      <w:r>
        <w:rPr>
          <w:rFonts w:ascii="Verdana" w:eastAsia="Times New Roman" w:hAnsi="Verdana" w:cs="Times New Roman"/>
          <w:noProof/>
          <w:color w:val="655A41"/>
          <w:sz w:val="18"/>
          <w:szCs w:val="18"/>
          <w:shd w:val="clear" w:color="auto" w:fill="F0EDEB"/>
        </w:rPr>
        <w:drawing>
          <wp:inline distT="0" distB="0" distL="0" distR="0">
            <wp:extent cx="4381500" cy="228600"/>
            <wp:effectExtent l="19050" t="0" r="0" b="0"/>
            <wp:docPr id="1" name="Picture 1"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cNvPicPr>
                      <a:picLocks noChangeAspect="1" noChangeArrowheads="1"/>
                    </pic:cNvPicPr>
                  </pic:nvPicPr>
                  <pic:blipFill>
                    <a:blip r:embed="rId5"/>
                    <a:srcRect/>
                    <a:stretch>
                      <a:fillRect/>
                    </a:stretch>
                  </pic:blipFill>
                  <pic:spPr bwMode="auto">
                    <a:xfrm>
                      <a:off x="0" y="0"/>
                      <a:ext cx="4381500" cy="228600"/>
                    </a:xfrm>
                    <a:prstGeom prst="rect">
                      <a:avLst/>
                    </a:prstGeom>
                    <a:noFill/>
                    <a:ln w="9525">
                      <a:noFill/>
                      <a:miter lim="800000"/>
                      <a:headEnd/>
                      <a:tailEnd/>
                    </a:ln>
                  </pic:spPr>
                </pic:pic>
              </a:graphicData>
            </a:graphic>
          </wp:inline>
        </w:drawing>
      </w:r>
    </w:p>
    <w:p w:rsidR="002219CE" w:rsidRPr="002219CE" w:rsidRDefault="002219CE" w:rsidP="002219CE">
      <w:pPr>
        <w:spacing w:before="105" w:after="165" w:line="240" w:lineRule="auto"/>
        <w:ind w:left="330" w:right="270"/>
        <w:rPr>
          <w:rFonts w:ascii="Verdana" w:eastAsia="Times New Roman" w:hAnsi="Verdana" w:cs="Times New Roman"/>
          <w:color w:val="655A41"/>
          <w:sz w:val="18"/>
          <w:szCs w:val="18"/>
        </w:rPr>
      </w:pPr>
      <w:r w:rsidRPr="002219CE">
        <w:rPr>
          <w:rFonts w:ascii="Verdana" w:eastAsia="Times New Roman" w:hAnsi="Verdana" w:cs="Times New Roman"/>
          <w:b/>
          <w:bCs/>
          <w:color w:val="655A41"/>
          <w:sz w:val="20"/>
        </w:rPr>
        <w:t>Absorption</w:t>
      </w:r>
      <w:r w:rsidRPr="002219CE">
        <w:rPr>
          <w:rFonts w:ascii="Verdana" w:eastAsia="Times New Roman" w:hAnsi="Verdana" w:cs="Times New Roman"/>
          <w:color w:val="655A41"/>
          <w:sz w:val="18"/>
          <w:szCs w:val="18"/>
        </w:rPr>
        <w:br/>
        <w:t xml:space="preserve">Assignment of fixed costs to products as they are booked into product cost. </w:t>
      </w:r>
      <w:proofErr w:type="gramStart"/>
      <w:r w:rsidRPr="002219CE">
        <w:rPr>
          <w:rFonts w:ascii="Verdana" w:eastAsia="Times New Roman" w:hAnsi="Verdana" w:cs="Times New Roman"/>
          <w:color w:val="655A41"/>
          <w:sz w:val="18"/>
          <w:szCs w:val="18"/>
        </w:rPr>
        <w:t>The higher the volume, the lower the cost that must be assigned to each unit.</w:t>
      </w:r>
      <w:proofErr w:type="gramEnd"/>
      <w:r w:rsidRPr="002219CE">
        <w:rPr>
          <w:rFonts w:ascii="Verdana" w:eastAsia="Times New Roman" w:hAnsi="Verdana" w:cs="Times New Roman"/>
          <w:color w:val="655A41"/>
          <w:sz w:val="18"/>
          <w:szCs w:val="18"/>
        </w:rPr>
        <w:t xml:space="preserve">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Activity Based Costing (ABC</w:t>
      </w:r>
      <w:proofErr w:type="gramStart"/>
      <w:r w:rsidRPr="002219CE">
        <w:rPr>
          <w:rFonts w:ascii="Verdana" w:eastAsia="Times New Roman" w:hAnsi="Verdana" w:cs="Times New Roman"/>
          <w:b/>
          <w:bCs/>
          <w:color w:val="655A41"/>
          <w:sz w:val="20"/>
        </w:rPr>
        <w:t>)</w:t>
      </w:r>
      <w:proofErr w:type="gramEnd"/>
      <w:r w:rsidRPr="002219CE">
        <w:rPr>
          <w:rFonts w:ascii="Verdana" w:eastAsia="Times New Roman" w:hAnsi="Verdana" w:cs="Times New Roman"/>
          <w:color w:val="655A41"/>
          <w:sz w:val="18"/>
          <w:szCs w:val="18"/>
        </w:rPr>
        <w:br/>
        <w:t xml:space="preserve">ABC is an approach to estimating and managing costs by determining their underlying drivers to ensure certain customers or products are not being subsidized at the expense of others.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proofErr w:type="gramStart"/>
      <w:r w:rsidRPr="002219CE">
        <w:rPr>
          <w:rFonts w:ascii="Verdana" w:eastAsia="Times New Roman" w:hAnsi="Verdana" w:cs="Times New Roman"/>
          <w:b/>
          <w:bCs/>
          <w:color w:val="655A41"/>
          <w:sz w:val="20"/>
        </w:rPr>
        <w:t>Acquisition</w:t>
      </w:r>
      <w:r w:rsidRPr="002219CE">
        <w:rPr>
          <w:rFonts w:ascii="Verdana" w:eastAsia="Times New Roman" w:hAnsi="Verdana" w:cs="Times New Roman"/>
          <w:color w:val="655A41"/>
          <w:sz w:val="18"/>
          <w:szCs w:val="18"/>
        </w:rPr>
        <w:br/>
        <w:t>A business entity being acquired for cash or stock.</w:t>
      </w:r>
      <w:proofErr w:type="gramEnd"/>
      <w:r w:rsidRPr="002219CE">
        <w:rPr>
          <w:rFonts w:ascii="Verdana" w:eastAsia="Times New Roman" w:hAnsi="Verdana" w:cs="Times New Roman"/>
          <w:color w:val="655A41"/>
          <w:sz w:val="18"/>
          <w:szCs w:val="18"/>
        </w:rPr>
        <w:t xml:space="preserve"> See Mergers &amp; Acquisitions.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Asset Leverage</w:t>
      </w:r>
      <w:r w:rsidRPr="002219CE">
        <w:rPr>
          <w:rFonts w:ascii="Verdana" w:eastAsia="Times New Roman" w:hAnsi="Verdana" w:cs="Times New Roman"/>
          <w:color w:val="655A41"/>
          <w:sz w:val="18"/>
          <w:szCs w:val="18"/>
        </w:rPr>
        <w:br/>
        <w:t xml:space="preserve">Use of assets to gain the optimum revenue (measured as Revenue divided by Assets).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Amortization</w:t>
      </w:r>
      <w:r w:rsidRPr="002219CE">
        <w:rPr>
          <w:rFonts w:ascii="Verdana" w:eastAsia="Times New Roman" w:hAnsi="Verdana" w:cs="Times New Roman"/>
          <w:color w:val="655A41"/>
          <w:sz w:val="18"/>
          <w:szCs w:val="18"/>
        </w:rPr>
        <w:br/>
        <w:t>Write off over time of an intangible asset such as goodwill, patents, or copyrights</w:t>
      </w:r>
      <w:proofErr w:type="gramStart"/>
      <w:r w:rsidRPr="002219CE">
        <w:rPr>
          <w:rFonts w:ascii="Verdana" w:eastAsia="Times New Roman" w:hAnsi="Verdana" w:cs="Times New Roman"/>
          <w:color w:val="655A41"/>
          <w:sz w:val="18"/>
          <w:szCs w:val="18"/>
        </w:rPr>
        <w:t>..</w:t>
      </w:r>
      <w:proofErr w:type="gramEnd"/>
      <w:r w:rsidRPr="002219CE">
        <w:rPr>
          <w:rFonts w:ascii="Verdana" w:eastAsia="Times New Roman" w:hAnsi="Verdana" w:cs="Times New Roman"/>
          <w:color w:val="655A41"/>
          <w:sz w:val="18"/>
          <w:szCs w:val="18"/>
        </w:rPr>
        <w:t xml:space="preserve">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Auditable</w:t>
      </w:r>
      <w:r w:rsidRPr="002219CE">
        <w:rPr>
          <w:rFonts w:ascii="Verdana" w:eastAsia="Times New Roman" w:hAnsi="Verdana" w:cs="Times New Roman"/>
          <w:color w:val="655A41"/>
          <w:sz w:val="18"/>
          <w:szCs w:val="18"/>
        </w:rPr>
        <w:br/>
        <w:t xml:space="preserve">Organized and complete documentation linking input assumptions unambiguously with output results. </w:t>
      </w:r>
    </w:p>
    <w:p w:rsidR="002219CE" w:rsidRPr="002219CE" w:rsidRDefault="002219CE" w:rsidP="002219CE">
      <w:pPr>
        <w:spacing w:after="0" w:line="240" w:lineRule="auto"/>
        <w:rPr>
          <w:rFonts w:ascii="Verdana" w:eastAsia="Times New Roman" w:hAnsi="Verdana" w:cs="Times New Roman"/>
          <w:color w:val="655A41"/>
          <w:sz w:val="18"/>
          <w:szCs w:val="18"/>
        </w:rPr>
      </w:pPr>
      <w:bookmarkStart w:id="0" w:name="B"/>
      <w:bookmarkEnd w:id="0"/>
      <w:r>
        <w:rPr>
          <w:rFonts w:ascii="Verdana" w:eastAsia="Times New Roman" w:hAnsi="Verdana" w:cs="Times New Roman"/>
          <w:noProof/>
          <w:color w:val="655A41"/>
          <w:sz w:val="18"/>
          <w:szCs w:val="18"/>
          <w:shd w:val="clear" w:color="auto" w:fill="F0EDEB"/>
        </w:rPr>
        <w:drawing>
          <wp:inline distT="0" distB="0" distL="0" distR="0">
            <wp:extent cx="4381500" cy="228600"/>
            <wp:effectExtent l="19050" t="0" r="0" b="0"/>
            <wp:docPr id="2" name="Picture 2"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
                    <pic:cNvPicPr>
                      <a:picLocks noChangeAspect="1" noChangeArrowheads="1"/>
                    </pic:cNvPicPr>
                  </pic:nvPicPr>
                  <pic:blipFill>
                    <a:blip r:embed="rId6"/>
                    <a:srcRect/>
                    <a:stretch>
                      <a:fillRect/>
                    </a:stretch>
                  </pic:blipFill>
                  <pic:spPr bwMode="auto">
                    <a:xfrm>
                      <a:off x="0" y="0"/>
                      <a:ext cx="4381500" cy="228600"/>
                    </a:xfrm>
                    <a:prstGeom prst="rect">
                      <a:avLst/>
                    </a:prstGeom>
                    <a:noFill/>
                    <a:ln w="9525">
                      <a:noFill/>
                      <a:miter lim="800000"/>
                      <a:headEnd/>
                      <a:tailEnd/>
                    </a:ln>
                  </pic:spPr>
                </pic:pic>
              </a:graphicData>
            </a:graphic>
          </wp:inline>
        </w:drawing>
      </w:r>
    </w:p>
    <w:p w:rsidR="002219CE" w:rsidRPr="002219CE" w:rsidRDefault="002219CE" w:rsidP="002219CE">
      <w:pPr>
        <w:spacing w:before="105" w:after="165" w:line="240" w:lineRule="auto"/>
        <w:ind w:left="330" w:right="270"/>
        <w:rPr>
          <w:rFonts w:ascii="Verdana" w:eastAsia="Times New Roman" w:hAnsi="Verdana" w:cs="Times New Roman"/>
          <w:color w:val="655A41"/>
          <w:sz w:val="18"/>
          <w:szCs w:val="18"/>
        </w:rPr>
      </w:pPr>
      <w:proofErr w:type="spellStart"/>
      <w:r w:rsidRPr="002219CE">
        <w:rPr>
          <w:rFonts w:ascii="Verdana" w:eastAsia="Times New Roman" w:hAnsi="Verdana" w:cs="Times New Roman"/>
          <w:b/>
          <w:bCs/>
          <w:color w:val="655A41"/>
          <w:sz w:val="20"/>
        </w:rPr>
        <w:t>Backflush</w:t>
      </w:r>
      <w:proofErr w:type="spellEnd"/>
      <w:r w:rsidRPr="002219CE">
        <w:rPr>
          <w:rFonts w:ascii="Verdana" w:eastAsia="Times New Roman" w:hAnsi="Verdana" w:cs="Times New Roman"/>
          <w:color w:val="655A41"/>
          <w:sz w:val="18"/>
          <w:szCs w:val="18"/>
        </w:rPr>
        <w:br/>
        <w:t xml:space="preserve">Compute the value of goods produced in a specific activity by multiplying the volume produced by the standard cost.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proofErr w:type="gramStart"/>
      <w:r w:rsidRPr="002219CE">
        <w:rPr>
          <w:rFonts w:ascii="Verdana" w:eastAsia="Times New Roman" w:hAnsi="Verdana" w:cs="Times New Roman"/>
          <w:b/>
          <w:bCs/>
          <w:color w:val="655A41"/>
          <w:sz w:val="20"/>
        </w:rPr>
        <w:t>Balance Sheet</w:t>
      </w:r>
      <w:r w:rsidRPr="002219CE">
        <w:rPr>
          <w:rFonts w:ascii="Verdana" w:eastAsia="Times New Roman" w:hAnsi="Verdana" w:cs="Times New Roman"/>
          <w:color w:val="655A41"/>
          <w:sz w:val="18"/>
          <w:szCs w:val="18"/>
        </w:rPr>
        <w:br/>
        <w:t>Standard financial statement that presents assets, liabilities, and equity as of the end of one or more fiscal periods.</w:t>
      </w:r>
      <w:proofErr w:type="gramEnd"/>
      <w:r w:rsidRPr="002219CE">
        <w:rPr>
          <w:rFonts w:ascii="Verdana" w:eastAsia="Times New Roman" w:hAnsi="Verdana" w:cs="Times New Roman"/>
          <w:color w:val="655A41"/>
          <w:sz w:val="18"/>
          <w:szCs w:val="18"/>
        </w:rPr>
        <w:t xml:space="preserve">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proofErr w:type="gramStart"/>
      <w:r w:rsidRPr="002219CE">
        <w:rPr>
          <w:rFonts w:ascii="Verdana" w:eastAsia="Times New Roman" w:hAnsi="Verdana" w:cs="Times New Roman"/>
          <w:b/>
          <w:bCs/>
          <w:color w:val="655A41"/>
          <w:sz w:val="20"/>
        </w:rPr>
        <w:t>Base Case / Baseline</w:t>
      </w:r>
      <w:r w:rsidRPr="002219CE">
        <w:rPr>
          <w:rFonts w:ascii="Verdana" w:eastAsia="Times New Roman" w:hAnsi="Verdana" w:cs="Times New Roman"/>
          <w:color w:val="655A41"/>
          <w:sz w:val="18"/>
          <w:szCs w:val="18"/>
        </w:rPr>
        <w:br/>
        <w:t>In a financial analysis, this case estimates future performance for "business as usual" (what is expected to happen without any business improvement activities).</w:t>
      </w:r>
      <w:proofErr w:type="gramEnd"/>
      <w:r w:rsidRPr="002219CE">
        <w:rPr>
          <w:rFonts w:ascii="Verdana" w:eastAsia="Times New Roman" w:hAnsi="Verdana" w:cs="Times New Roman"/>
          <w:color w:val="655A41"/>
          <w:sz w:val="18"/>
          <w:szCs w:val="18"/>
        </w:rPr>
        <w:t xml:space="preserve">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Benefits</w:t>
      </w:r>
      <w:r w:rsidRPr="002219CE">
        <w:rPr>
          <w:rFonts w:ascii="Verdana" w:eastAsia="Times New Roman" w:hAnsi="Verdana" w:cs="Times New Roman"/>
          <w:color w:val="655A41"/>
          <w:sz w:val="18"/>
          <w:szCs w:val="18"/>
        </w:rPr>
        <w:br/>
      </w:r>
      <w:proofErr w:type="gramStart"/>
      <w:r w:rsidRPr="002219CE">
        <w:rPr>
          <w:rFonts w:ascii="Verdana" w:eastAsia="Times New Roman" w:hAnsi="Verdana" w:cs="Times New Roman"/>
          <w:color w:val="655A41"/>
          <w:sz w:val="18"/>
          <w:szCs w:val="18"/>
        </w:rPr>
        <w:t>The</w:t>
      </w:r>
      <w:proofErr w:type="gramEnd"/>
      <w:r w:rsidRPr="002219CE">
        <w:rPr>
          <w:rFonts w:ascii="Verdana" w:eastAsia="Times New Roman" w:hAnsi="Verdana" w:cs="Times New Roman"/>
          <w:color w:val="655A41"/>
          <w:sz w:val="18"/>
          <w:szCs w:val="18"/>
        </w:rPr>
        <w:t xml:space="preserve"> positive effects (usually the purpose of) a business improvement project.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Breakeven Analysis</w:t>
      </w:r>
      <w:r w:rsidRPr="002219CE">
        <w:rPr>
          <w:rFonts w:ascii="Verdana" w:eastAsia="Times New Roman" w:hAnsi="Verdana" w:cs="Times New Roman"/>
          <w:color w:val="655A41"/>
          <w:sz w:val="18"/>
          <w:szCs w:val="18"/>
        </w:rPr>
        <w:br/>
        <w:t xml:space="preserve">Involves computation of the point at which profit contribution exactly equals the fixed costs of a company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Business Analysis</w:t>
      </w:r>
      <w:r w:rsidRPr="002219CE">
        <w:rPr>
          <w:rFonts w:ascii="Verdana" w:eastAsia="Times New Roman" w:hAnsi="Verdana" w:cs="Times New Roman"/>
          <w:color w:val="655A41"/>
          <w:sz w:val="18"/>
          <w:szCs w:val="18"/>
        </w:rPr>
        <w:br/>
      </w:r>
      <w:proofErr w:type="gramStart"/>
      <w:r w:rsidRPr="002219CE">
        <w:rPr>
          <w:rFonts w:ascii="Verdana" w:eastAsia="Times New Roman" w:hAnsi="Verdana" w:cs="Times New Roman"/>
          <w:color w:val="655A41"/>
          <w:sz w:val="18"/>
          <w:szCs w:val="18"/>
        </w:rPr>
        <w:t>Any</w:t>
      </w:r>
      <w:proofErr w:type="gramEnd"/>
      <w:r w:rsidRPr="002219CE">
        <w:rPr>
          <w:rFonts w:ascii="Verdana" w:eastAsia="Times New Roman" w:hAnsi="Verdana" w:cs="Times New Roman"/>
          <w:color w:val="655A41"/>
          <w:sz w:val="18"/>
          <w:szCs w:val="18"/>
        </w:rPr>
        <w:t xml:space="preserve"> analysis of business activities, especially those driving financial or non-financial investments and returns (benefits).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Business Case</w:t>
      </w:r>
      <w:r w:rsidRPr="002219CE">
        <w:rPr>
          <w:rFonts w:ascii="Verdana" w:eastAsia="Times New Roman" w:hAnsi="Verdana" w:cs="Times New Roman"/>
          <w:color w:val="655A41"/>
          <w:sz w:val="18"/>
          <w:szCs w:val="18"/>
        </w:rPr>
        <w:br/>
        <w:t xml:space="preserve">The analysis supporting a proposed action. </w:t>
      </w:r>
      <w:proofErr w:type="gramStart"/>
      <w:r w:rsidRPr="002219CE">
        <w:rPr>
          <w:rFonts w:ascii="Verdana" w:eastAsia="Times New Roman" w:hAnsi="Verdana" w:cs="Times New Roman"/>
          <w:color w:val="655A41"/>
          <w:sz w:val="18"/>
          <w:szCs w:val="18"/>
        </w:rPr>
        <w:t>Typically, a financial analysis of the investments and returns.</w:t>
      </w:r>
      <w:proofErr w:type="gramEnd"/>
      <w:r w:rsidRPr="002219CE">
        <w:rPr>
          <w:rFonts w:ascii="Verdana" w:eastAsia="Times New Roman" w:hAnsi="Verdana" w:cs="Times New Roman"/>
          <w:color w:val="655A41"/>
          <w:sz w:val="18"/>
          <w:szCs w:val="18"/>
        </w:rPr>
        <w:t xml:space="preserve">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Business Model</w:t>
      </w:r>
      <w:r w:rsidRPr="002219CE">
        <w:rPr>
          <w:rFonts w:ascii="Verdana" w:eastAsia="Times New Roman" w:hAnsi="Verdana" w:cs="Times New Roman"/>
          <w:color w:val="655A41"/>
          <w:sz w:val="18"/>
          <w:szCs w:val="18"/>
        </w:rPr>
        <w:br/>
      </w:r>
      <w:proofErr w:type="gramStart"/>
      <w:r w:rsidRPr="002219CE">
        <w:rPr>
          <w:rFonts w:ascii="Verdana" w:eastAsia="Times New Roman" w:hAnsi="Verdana" w:cs="Times New Roman"/>
          <w:color w:val="655A41"/>
          <w:sz w:val="18"/>
          <w:szCs w:val="18"/>
        </w:rPr>
        <w:t>A</w:t>
      </w:r>
      <w:proofErr w:type="gramEnd"/>
      <w:r w:rsidRPr="002219CE">
        <w:rPr>
          <w:rFonts w:ascii="Verdana" w:eastAsia="Times New Roman" w:hAnsi="Verdana" w:cs="Times New Roman"/>
          <w:color w:val="655A41"/>
          <w:sz w:val="18"/>
          <w:szCs w:val="18"/>
        </w:rPr>
        <w:t xml:space="preserve"> representation of the activities of a business in mathematical or abstract terms. </w:t>
      </w:r>
      <w:proofErr w:type="gramStart"/>
      <w:r w:rsidRPr="002219CE">
        <w:rPr>
          <w:rFonts w:ascii="Verdana" w:eastAsia="Times New Roman" w:hAnsi="Verdana" w:cs="Times New Roman"/>
          <w:color w:val="655A41"/>
          <w:sz w:val="18"/>
          <w:szCs w:val="18"/>
        </w:rPr>
        <w:t>often</w:t>
      </w:r>
      <w:proofErr w:type="gramEnd"/>
      <w:r w:rsidRPr="002219CE">
        <w:rPr>
          <w:rFonts w:ascii="Verdana" w:eastAsia="Times New Roman" w:hAnsi="Verdana" w:cs="Times New Roman"/>
          <w:color w:val="655A41"/>
          <w:sz w:val="18"/>
          <w:szCs w:val="18"/>
        </w:rPr>
        <w:t xml:space="preserve"> refers to a computer simulation of financial flows.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proofErr w:type="gramStart"/>
      <w:r w:rsidRPr="002219CE">
        <w:rPr>
          <w:rFonts w:ascii="Verdana" w:eastAsia="Times New Roman" w:hAnsi="Verdana" w:cs="Times New Roman"/>
          <w:b/>
          <w:bCs/>
          <w:color w:val="655A41"/>
          <w:sz w:val="20"/>
        </w:rPr>
        <w:t>Business Unit</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lastRenderedPageBreak/>
        <w:t>Any business organization with identifiable financial statements.</w:t>
      </w:r>
      <w:proofErr w:type="gramEnd"/>
      <w:r w:rsidRPr="002219CE">
        <w:rPr>
          <w:rFonts w:ascii="Verdana" w:eastAsia="Times New Roman" w:hAnsi="Verdana" w:cs="Times New Roman"/>
          <w:color w:val="655A41"/>
          <w:sz w:val="18"/>
          <w:szCs w:val="18"/>
        </w:rPr>
        <w:t xml:space="preserve"> Many organizations identify business units to fix financial accountability. </w:t>
      </w:r>
    </w:p>
    <w:p w:rsidR="002219CE" w:rsidRPr="002219CE" w:rsidRDefault="002219CE" w:rsidP="002219CE">
      <w:pPr>
        <w:spacing w:after="0" w:line="240" w:lineRule="auto"/>
        <w:rPr>
          <w:rFonts w:ascii="Verdana" w:eastAsia="Times New Roman" w:hAnsi="Verdana" w:cs="Times New Roman"/>
          <w:color w:val="655A41"/>
          <w:sz w:val="18"/>
          <w:szCs w:val="18"/>
        </w:rPr>
      </w:pPr>
      <w:bookmarkStart w:id="1" w:name="C"/>
      <w:bookmarkEnd w:id="1"/>
      <w:r>
        <w:rPr>
          <w:rFonts w:ascii="Verdana" w:eastAsia="Times New Roman" w:hAnsi="Verdana" w:cs="Times New Roman"/>
          <w:noProof/>
          <w:color w:val="655A41"/>
          <w:sz w:val="18"/>
          <w:szCs w:val="18"/>
          <w:shd w:val="clear" w:color="auto" w:fill="F0EDEB"/>
        </w:rPr>
        <w:drawing>
          <wp:inline distT="0" distB="0" distL="0" distR="0">
            <wp:extent cx="4381500" cy="228600"/>
            <wp:effectExtent l="19050" t="0" r="0" b="0"/>
            <wp:docPr id="3" name="Picture 3"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
                    <pic:cNvPicPr>
                      <a:picLocks noChangeAspect="1" noChangeArrowheads="1"/>
                    </pic:cNvPicPr>
                  </pic:nvPicPr>
                  <pic:blipFill>
                    <a:blip r:embed="rId7"/>
                    <a:srcRect/>
                    <a:stretch>
                      <a:fillRect/>
                    </a:stretch>
                  </pic:blipFill>
                  <pic:spPr bwMode="auto">
                    <a:xfrm>
                      <a:off x="0" y="0"/>
                      <a:ext cx="4381500" cy="228600"/>
                    </a:xfrm>
                    <a:prstGeom prst="rect">
                      <a:avLst/>
                    </a:prstGeom>
                    <a:noFill/>
                    <a:ln w="9525">
                      <a:noFill/>
                      <a:miter lim="800000"/>
                      <a:headEnd/>
                      <a:tailEnd/>
                    </a:ln>
                  </pic:spPr>
                </pic:pic>
              </a:graphicData>
            </a:graphic>
          </wp:inline>
        </w:drawing>
      </w:r>
    </w:p>
    <w:p w:rsidR="002219CE" w:rsidRPr="002219CE" w:rsidRDefault="002219CE" w:rsidP="002219CE">
      <w:pPr>
        <w:spacing w:before="105" w:after="165" w:line="240" w:lineRule="auto"/>
        <w:ind w:left="330" w:right="270"/>
        <w:rPr>
          <w:rFonts w:ascii="Verdana" w:eastAsia="Times New Roman" w:hAnsi="Verdana" w:cs="Times New Roman"/>
          <w:color w:val="655A41"/>
          <w:sz w:val="18"/>
          <w:szCs w:val="18"/>
        </w:rPr>
      </w:pPr>
      <w:r w:rsidRPr="002219CE">
        <w:rPr>
          <w:rFonts w:ascii="Verdana" w:eastAsia="Times New Roman" w:hAnsi="Verdana" w:cs="Times New Roman"/>
          <w:b/>
          <w:bCs/>
          <w:color w:val="655A41"/>
          <w:sz w:val="20"/>
        </w:rPr>
        <w:t>Cannibalization</w:t>
      </w:r>
      <w:r w:rsidRPr="002219CE">
        <w:rPr>
          <w:rFonts w:ascii="Verdana" w:eastAsia="Times New Roman" w:hAnsi="Verdana" w:cs="Times New Roman"/>
          <w:color w:val="655A41"/>
          <w:sz w:val="18"/>
          <w:szCs w:val="18"/>
        </w:rPr>
        <w:br/>
        <w:t xml:space="preserve">Occurs when a new product takes some of its market share from its owner's existing products, in effect cannibalizing other planned revenue.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Capital Investments</w:t>
      </w:r>
      <w:r w:rsidRPr="002219CE">
        <w:rPr>
          <w:rFonts w:ascii="Verdana" w:eastAsia="Times New Roman" w:hAnsi="Verdana" w:cs="Times New Roman"/>
          <w:color w:val="655A41"/>
          <w:sz w:val="18"/>
          <w:szCs w:val="18"/>
        </w:rPr>
        <w:br/>
        <w:t xml:space="preserve">Systems, machinery and equipment costs, or people-related costs if their work results in an amortized asset (such as software).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proofErr w:type="gramStart"/>
      <w:r w:rsidRPr="002219CE">
        <w:rPr>
          <w:rFonts w:ascii="Verdana" w:eastAsia="Times New Roman" w:hAnsi="Verdana" w:cs="Times New Roman"/>
          <w:b/>
          <w:bCs/>
          <w:color w:val="655A41"/>
          <w:sz w:val="20"/>
        </w:rPr>
        <w:t>Cash Flow / Funds Flow Statement</w:t>
      </w:r>
      <w:r w:rsidRPr="002219CE">
        <w:rPr>
          <w:rFonts w:ascii="Verdana" w:eastAsia="Times New Roman" w:hAnsi="Verdana" w:cs="Times New Roman"/>
          <w:color w:val="655A41"/>
          <w:sz w:val="18"/>
          <w:szCs w:val="18"/>
        </w:rPr>
        <w:br/>
        <w:t>Standard financial statement that shows how cash was obtained and used in one or more fiscal periods.</w:t>
      </w:r>
      <w:proofErr w:type="gramEnd"/>
      <w:r w:rsidRPr="002219CE">
        <w:rPr>
          <w:rFonts w:ascii="Verdana" w:eastAsia="Times New Roman" w:hAnsi="Verdana" w:cs="Times New Roman"/>
          <w:color w:val="655A41"/>
          <w:sz w:val="18"/>
          <w:szCs w:val="18"/>
        </w:rPr>
        <w:t xml:space="preserve">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Cash Flow versus Earnings Ratio</w:t>
      </w:r>
      <w:r w:rsidRPr="002219CE">
        <w:rPr>
          <w:rFonts w:ascii="Verdana" w:eastAsia="Times New Roman" w:hAnsi="Verdana" w:cs="Times New Roman"/>
          <w:color w:val="655A41"/>
          <w:sz w:val="18"/>
          <w:szCs w:val="18"/>
        </w:rPr>
        <w:br/>
        <w:t xml:space="preserve">An indicator of liquidity trends, computed as Net Cash Flow divided by Net Earnings after Tax for a given period.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Charter (or Action Plan</w:t>
      </w:r>
      <w:proofErr w:type="gramStart"/>
      <w:r w:rsidRPr="002219CE">
        <w:rPr>
          <w:rFonts w:ascii="Verdana" w:eastAsia="Times New Roman" w:hAnsi="Verdana" w:cs="Times New Roman"/>
          <w:b/>
          <w:bCs/>
          <w:color w:val="655A41"/>
          <w:sz w:val="20"/>
        </w:rPr>
        <w:t>)</w:t>
      </w:r>
      <w:proofErr w:type="gramEnd"/>
      <w:r w:rsidRPr="002219CE">
        <w:rPr>
          <w:rFonts w:ascii="Verdana" w:eastAsia="Times New Roman" w:hAnsi="Verdana" w:cs="Times New Roman"/>
          <w:color w:val="655A41"/>
          <w:sz w:val="18"/>
          <w:szCs w:val="18"/>
        </w:rPr>
        <w:br/>
        <w:t xml:space="preserve">A document agreed between executives and a project team against which progress will be tracked and decisions will be made.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Chart of Accounts</w:t>
      </w:r>
      <w:r w:rsidRPr="002219CE">
        <w:rPr>
          <w:rFonts w:ascii="Verdana" w:eastAsia="Times New Roman" w:hAnsi="Verdana" w:cs="Times New Roman"/>
          <w:color w:val="655A41"/>
          <w:sz w:val="18"/>
          <w:szCs w:val="18"/>
        </w:rPr>
        <w:br/>
      </w:r>
      <w:proofErr w:type="gramStart"/>
      <w:r w:rsidRPr="002219CE">
        <w:rPr>
          <w:rFonts w:ascii="Verdana" w:eastAsia="Times New Roman" w:hAnsi="Verdana" w:cs="Times New Roman"/>
          <w:color w:val="655A41"/>
          <w:sz w:val="18"/>
          <w:szCs w:val="18"/>
        </w:rPr>
        <w:t>A</w:t>
      </w:r>
      <w:proofErr w:type="gramEnd"/>
      <w:r w:rsidRPr="002219CE">
        <w:rPr>
          <w:rFonts w:ascii="Verdana" w:eastAsia="Times New Roman" w:hAnsi="Verdana" w:cs="Times New Roman"/>
          <w:color w:val="655A41"/>
          <w:sz w:val="18"/>
          <w:szCs w:val="18"/>
        </w:rPr>
        <w:t xml:space="preserve"> hierarchical numerical index of financial elements designed for sub-totaling into meaningful categories.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Confidence</w:t>
      </w:r>
      <w:r w:rsidRPr="002219CE">
        <w:rPr>
          <w:rFonts w:ascii="Verdana" w:eastAsia="Times New Roman" w:hAnsi="Verdana" w:cs="Times New Roman"/>
          <w:color w:val="655A41"/>
          <w:sz w:val="18"/>
          <w:szCs w:val="18"/>
        </w:rPr>
        <w:br/>
        <w:t xml:space="preserve">Estimates of future performance always entail a confidence factor, the inverse of uncertainty. It is useful to quantify the confidence to perform Sensitivity Analysis, demonstrating the possible impacts of different levels of performance. See Sensitivity Analysis.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Consolidation</w:t>
      </w:r>
      <w:r w:rsidRPr="002219CE">
        <w:rPr>
          <w:rFonts w:ascii="Verdana" w:eastAsia="Times New Roman" w:hAnsi="Verdana" w:cs="Times New Roman"/>
          <w:color w:val="655A41"/>
          <w:sz w:val="18"/>
          <w:szCs w:val="18"/>
        </w:rPr>
        <w:br/>
      </w:r>
      <w:proofErr w:type="gramStart"/>
      <w:r w:rsidRPr="002219CE">
        <w:rPr>
          <w:rFonts w:ascii="Verdana" w:eastAsia="Times New Roman" w:hAnsi="Verdana" w:cs="Times New Roman"/>
          <w:color w:val="655A41"/>
          <w:sz w:val="18"/>
          <w:szCs w:val="18"/>
        </w:rPr>
        <w:t>Combining</w:t>
      </w:r>
      <w:proofErr w:type="gramEnd"/>
      <w:r w:rsidRPr="002219CE">
        <w:rPr>
          <w:rFonts w:ascii="Verdana" w:eastAsia="Times New Roman" w:hAnsi="Verdana" w:cs="Times New Roman"/>
          <w:color w:val="655A41"/>
          <w:sz w:val="18"/>
          <w:szCs w:val="18"/>
        </w:rPr>
        <w:t xml:space="preserve"> two or more business entities, taking into account their existing interactions to prevent certain transactions from being double-counted.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Currency Conversion</w:t>
      </w:r>
      <w:r w:rsidRPr="002219CE">
        <w:rPr>
          <w:rFonts w:ascii="Verdana" w:eastAsia="Times New Roman" w:hAnsi="Verdana" w:cs="Times New Roman"/>
          <w:color w:val="655A41"/>
          <w:sz w:val="18"/>
          <w:szCs w:val="18"/>
        </w:rPr>
        <w:br/>
      </w:r>
      <w:proofErr w:type="gramStart"/>
      <w:r w:rsidRPr="002219CE">
        <w:rPr>
          <w:rFonts w:ascii="Verdana" w:eastAsia="Times New Roman" w:hAnsi="Verdana" w:cs="Times New Roman"/>
          <w:color w:val="655A41"/>
          <w:sz w:val="18"/>
          <w:szCs w:val="18"/>
        </w:rPr>
        <w:t>When</w:t>
      </w:r>
      <w:proofErr w:type="gramEnd"/>
      <w:r w:rsidRPr="002219CE">
        <w:rPr>
          <w:rFonts w:ascii="Verdana" w:eastAsia="Times New Roman" w:hAnsi="Verdana" w:cs="Times New Roman"/>
          <w:color w:val="655A41"/>
          <w:sz w:val="18"/>
          <w:szCs w:val="18"/>
        </w:rPr>
        <w:t xml:space="preserve"> consolidating financial statements, it is critical that a single currency and order of magnitude is used, and the value of one country's currency may need to be translated into another.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Current Ratio</w:t>
      </w:r>
      <w:r w:rsidRPr="002219CE">
        <w:rPr>
          <w:rFonts w:ascii="Verdana" w:eastAsia="Times New Roman" w:hAnsi="Verdana" w:cs="Times New Roman"/>
          <w:color w:val="655A41"/>
          <w:sz w:val="18"/>
          <w:szCs w:val="18"/>
        </w:rPr>
        <w:br/>
        <w:t xml:space="preserve">Current Assets divided by Current Liabilities, a measure of liquidity, or the ability to pay current debts out of current assets. An extreme version, the "Acid Test" ratio, assumes Inventory cannot be converted to cash.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Customer Satisfaction</w:t>
      </w:r>
      <w:r w:rsidRPr="002219CE">
        <w:rPr>
          <w:rFonts w:ascii="Verdana" w:eastAsia="Times New Roman" w:hAnsi="Verdana" w:cs="Times New Roman"/>
          <w:color w:val="655A41"/>
          <w:sz w:val="18"/>
          <w:szCs w:val="18"/>
        </w:rPr>
        <w:br/>
        <w:t xml:space="preserve">Satisfied customers are loyal, and reduce the cost of gaining future revenue. Measurement allows companies to continuously improve products and services. </w:t>
      </w:r>
    </w:p>
    <w:p w:rsidR="002219CE" w:rsidRPr="002219CE" w:rsidRDefault="002219CE" w:rsidP="002219CE">
      <w:pPr>
        <w:spacing w:after="0" w:line="240" w:lineRule="auto"/>
        <w:rPr>
          <w:rFonts w:ascii="Verdana" w:eastAsia="Times New Roman" w:hAnsi="Verdana" w:cs="Times New Roman"/>
          <w:color w:val="655A41"/>
          <w:sz w:val="18"/>
          <w:szCs w:val="18"/>
        </w:rPr>
      </w:pPr>
      <w:bookmarkStart w:id="2" w:name="D"/>
      <w:bookmarkEnd w:id="2"/>
      <w:r>
        <w:rPr>
          <w:rFonts w:ascii="Verdana" w:eastAsia="Times New Roman" w:hAnsi="Verdana" w:cs="Times New Roman"/>
          <w:noProof/>
          <w:color w:val="655A41"/>
          <w:sz w:val="18"/>
          <w:szCs w:val="18"/>
          <w:shd w:val="clear" w:color="auto" w:fill="F0EDEB"/>
        </w:rPr>
        <w:drawing>
          <wp:inline distT="0" distB="0" distL="0" distR="0">
            <wp:extent cx="4381500" cy="228600"/>
            <wp:effectExtent l="19050" t="0" r="0" b="0"/>
            <wp:docPr id="4" name="Picture 4" desc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
                    <pic:cNvPicPr>
                      <a:picLocks noChangeAspect="1" noChangeArrowheads="1"/>
                    </pic:cNvPicPr>
                  </pic:nvPicPr>
                  <pic:blipFill>
                    <a:blip r:embed="rId8"/>
                    <a:srcRect/>
                    <a:stretch>
                      <a:fillRect/>
                    </a:stretch>
                  </pic:blipFill>
                  <pic:spPr bwMode="auto">
                    <a:xfrm>
                      <a:off x="0" y="0"/>
                      <a:ext cx="4381500" cy="228600"/>
                    </a:xfrm>
                    <a:prstGeom prst="rect">
                      <a:avLst/>
                    </a:prstGeom>
                    <a:noFill/>
                    <a:ln w="9525">
                      <a:noFill/>
                      <a:miter lim="800000"/>
                      <a:headEnd/>
                      <a:tailEnd/>
                    </a:ln>
                  </pic:spPr>
                </pic:pic>
              </a:graphicData>
            </a:graphic>
          </wp:inline>
        </w:drawing>
      </w:r>
    </w:p>
    <w:p w:rsidR="002219CE" w:rsidRPr="002219CE" w:rsidRDefault="002219CE" w:rsidP="002219CE">
      <w:pPr>
        <w:spacing w:before="105" w:after="165" w:line="240" w:lineRule="auto"/>
        <w:ind w:left="330" w:right="270"/>
        <w:rPr>
          <w:rFonts w:ascii="Verdana" w:eastAsia="Times New Roman" w:hAnsi="Verdana" w:cs="Times New Roman"/>
          <w:color w:val="655A41"/>
          <w:sz w:val="18"/>
          <w:szCs w:val="18"/>
        </w:rPr>
      </w:pPr>
      <w:r w:rsidRPr="002219CE">
        <w:rPr>
          <w:rFonts w:ascii="Verdana" w:eastAsia="Times New Roman" w:hAnsi="Verdana" w:cs="Times New Roman"/>
          <w:b/>
          <w:bCs/>
          <w:color w:val="655A41"/>
          <w:sz w:val="20"/>
        </w:rPr>
        <w:t>Days of Inventory Supply (DOS) or Days on Hand (DOH</w:t>
      </w:r>
      <w:proofErr w:type="gramStart"/>
      <w:r w:rsidRPr="002219CE">
        <w:rPr>
          <w:rFonts w:ascii="Verdana" w:eastAsia="Times New Roman" w:hAnsi="Verdana" w:cs="Times New Roman"/>
          <w:b/>
          <w:bCs/>
          <w:color w:val="655A41"/>
          <w:sz w:val="20"/>
        </w:rPr>
        <w:t>)</w:t>
      </w:r>
      <w:proofErr w:type="gramEnd"/>
      <w:r w:rsidRPr="002219CE">
        <w:rPr>
          <w:rFonts w:ascii="Verdana" w:eastAsia="Times New Roman" w:hAnsi="Verdana" w:cs="Times New Roman"/>
          <w:color w:val="655A41"/>
          <w:sz w:val="18"/>
          <w:szCs w:val="18"/>
        </w:rPr>
        <w:br/>
        <w:t xml:space="preserve">Another measure to determine whether inventory is being used efficiently, and to predict theoretically how many days a company could keep shipping if incoming materials dried up.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lastRenderedPageBreak/>
        <w:t>Days Purchases Outstanding</w:t>
      </w:r>
      <w:r w:rsidRPr="002219CE">
        <w:rPr>
          <w:rFonts w:ascii="Verdana" w:eastAsia="Times New Roman" w:hAnsi="Verdana" w:cs="Times New Roman"/>
          <w:color w:val="655A41"/>
          <w:sz w:val="18"/>
          <w:szCs w:val="18"/>
        </w:rPr>
        <w:br/>
        <w:t xml:space="preserve">Days Purchases Outstanding is the number of days the average supplier waits from delivery of product to payment, calculated as A/P divided by annual material purchases, times 365.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Days Sales Outstanding (DSO</w:t>
      </w:r>
      <w:proofErr w:type="gramStart"/>
      <w:r w:rsidRPr="002219CE">
        <w:rPr>
          <w:rFonts w:ascii="Verdana" w:eastAsia="Times New Roman" w:hAnsi="Verdana" w:cs="Times New Roman"/>
          <w:b/>
          <w:bCs/>
          <w:color w:val="655A41"/>
          <w:sz w:val="20"/>
        </w:rPr>
        <w:t>)</w:t>
      </w:r>
      <w:proofErr w:type="gramEnd"/>
      <w:r w:rsidRPr="002219CE">
        <w:rPr>
          <w:rFonts w:ascii="Verdana" w:eastAsia="Times New Roman" w:hAnsi="Verdana" w:cs="Times New Roman"/>
          <w:color w:val="655A41"/>
          <w:sz w:val="18"/>
          <w:szCs w:val="18"/>
        </w:rPr>
        <w:br/>
        <w:t xml:space="preserve">A measure of Accounts Receivable, measured as A/R divided by annual Revenue, times 365. DSO theoretically measures how many days we wait after delivering a product to get paid for it.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Debt Ratio</w:t>
      </w:r>
      <w:r w:rsidRPr="002219CE">
        <w:rPr>
          <w:rFonts w:ascii="Verdana" w:eastAsia="Times New Roman" w:hAnsi="Verdana" w:cs="Times New Roman"/>
          <w:color w:val="655A41"/>
          <w:sz w:val="18"/>
          <w:szCs w:val="18"/>
        </w:rPr>
        <w:br/>
        <w:t xml:space="preserve">Total Liabilities divided by Total </w:t>
      </w:r>
      <w:proofErr w:type="gramStart"/>
      <w:r w:rsidRPr="002219CE">
        <w:rPr>
          <w:rFonts w:ascii="Verdana" w:eastAsia="Times New Roman" w:hAnsi="Verdana" w:cs="Times New Roman"/>
          <w:color w:val="655A41"/>
          <w:sz w:val="18"/>
          <w:szCs w:val="18"/>
        </w:rPr>
        <w:t>Assets,</w:t>
      </w:r>
      <w:proofErr w:type="gramEnd"/>
      <w:r w:rsidRPr="002219CE">
        <w:rPr>
          <w:rFonts w:ascii="Verdana" w:eastAsia="Times New Roman" w:hAnsi="Verdana" w:cs="Times New Roman"/>
          <w:color w:val="655A41"/>
          <w:sz w:val="18"/>
          <w:szCs w:val="18"/>
        </w:rPr>
        <w:t xml:space="preserve"> indicates how much of the company is owed to creditors.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Debt / Equity Ratio</w:t>
      </w:r>
      <w:r w:rsidRPr="002219CE">
        <w:rPr>
          <w:rFonts w:ascii="Verdana" w:eastAsia="Times New Roman" w:hAnsi="Verdana" w:cs="Times New Roman"/>
          <w:color w:val="655A41"/>
          <w:sz w:val="18"/>
          <w:szCs w:val="18"/>
        </w:rPr>
        <w:br/>
        <w:t xml:space="preserve">Total Liabilities divided by Total Equity, indicates the balance of the stakes held between owners and creditors.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proofErr w:type="gramStart"/>
      <w:r w:rsidRPr="002219CE">
        <w:rPr>
          <w:rFonts w:ascii="Verdana" w:eastAsia="Times New Roman" w:hAnsi="Verdana" w:cs="Times New Roman"/>
          <w:b/>
          <w:bCs/>
          <w:color w:val="655A41"/>
          <w:sz w:val="20"/>
        </w:rPr>
        <w:t>Dependencies</w:t>
      </w:r>
      <w:r w:rsidRPr="002219CE">
        <w:rPr>
          <w:rFonts w:ascii="Verdana" w:eastAsia="Times New Roman" w:hAnsi="Verdana" w:cs="Times New Roman"/>
          <w:color w:val="655A41"/>
          <w:sz w:val="18"/>
          <w:szCs w:val="18"/>
        </w:rPr>
        <w:br/>
        <w:t>Related events or plans that could significantly affect the outcome of a project.</w:t>
      </w:r>
      <w:proofErr w:type="gramEnd"/>
      <w:r w:rsidRPr="002219CE">
        <w:rPr>
          <w:rFonts w:ascii="Verdana" w:eastAsia="Times New Roman" w:hAnsi="Verdana" w:cs="Times New Roman"/>
          <w:color w:val="655A41"/>
          <w:sz w:val="18"/>
          <w:szCs w:val="18"/>
        </w:rPr>
        <w:t xml:space="preserve">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Discount Rate</w:t>
      </w:r>
      <w:r w:rsidRPr="002219CE">
        <w:rPr>
          <w:rFonts w:ascii="Verdana" w:eastAsia="Times New Roman" w:hAnsi="Verdana" w:cs="Times New Roman"/>
          <w:color w:val="655A41"/>
          <w:sz w:val="18"/>
          <w:szCs w:val="18"/>
        </w:rPr>
        <w:br/>
        <w:t xml:space="preserve">The rate of interest used to calculate the Net Present Value (NPV) of investments. This could also be a company's "Hurdle" Rate, or minimum acceptable return.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proofErr w:type="gramStart"/>
      <w:r w:rsidRPr="002219CE">
        <w:rPr>
          <w:rFonts w:ascii="Verdana" w:eastAsia="Times New Roman" w:hAnsi="Verdana" w:cs="Times New Roman"/>
          <w:b/>
          <w:bCs/>
          <w:color w:val="655A41"/>
          <w:sz w:val="20"/>
        </w:rPr>
        <w:t>Divestiture</w:t>
      </w:r>
      <w:r w:rsidRPr="002219CE">
        <w:rPr>
          <w:rFonts w:ascii="Verdana" w:eastAsia="Times New Roman" w:hAnsi="Verdana" w:cs="Times New Roman"/>
          <w:color w:val="655A41"/>
          <w:sz w:val="18"/>
          <w:szCs w:val="18"/>
        </w:rPr>
        <w:br/>
        <w:t>The sale of a business unit or business entity.</w:t>
      </w:r>
      <w:proofErr w:type="gramEnd"/>
      <w:r w:rsidRPr="002219CE">
        <w:rPr>
          <w:rFonts w:ascii="Verdana" w:eastAsia="Times New Roman" w:hAnsi="Verdana" w:cs="Times New Roman"/>
          <w:color w:val="655A41"/>
          <w:sz w:val="18"/>
          <w:szCs w:val="18"/>
        </w:rPr>
        <w:t xml:space="preserve">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Dividend Payout</w:t>
      </w:r>
      <w:r w:rsidRPr="002219CE">
        <w:rPr>
          <w:rFonts w:ascii="Verdana" w:eastAsia="Times New Roman" w:hAnsi="Verdana" w:cs="Times New Roman"/>
          <w:color w:val="655A41"/>
          <w:sz w:val="18"/>
          <w:szCs w:val="18"/>
        </w:rPr>
        <w:br/>
        <w:t xml:space="preserve">Per cent of Net Profit after Tax paid out to shareholders in the form of Dividends or Distributions (Dividends divided by NPAT).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Dividend Yield</w:t>
      </w:r>
      <w:r w:rsidRPr="002219CE">
        <w:rPr>
          <w:rFonts w:ascii="Verdana" w:eastAsia="Times New Roman" w:hAnsi="Verdana" w:cs="Times New Roman"/>
          <w:color w:val="655A41"/>
          <w:sz w:val="18"/>
          <w:szCs w:val="18"/>
        </w:rPr>
        <w:br/>
        <w:t xml:space="preserve">The value of Dividends paid compared to the Market Value of a stock.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proofErr w:type="gramStart"/>
      <w:r w:rsidRPr="002219CE">
        <w:rPr>
          <w:rFonts w:ascii="Verdana" w:eastAsia="Times New Roman" w:hAnsi="Verdana" w:cs="Times New Roman"/>
          <w:b/>
          <w:bCs/>
          <w:color w:val="655A41"/>
          <w:sz w:val="20"/>
        </w:rPr>
        <w:t>Due Diligence</w:t>
      </w:r>
      <w:r w:rsidRPr="002219CE">
        <w:rPr>
          <w:rFonts w:ascii="Verdana" w:eastAsia="Times New Roman" w:hAnsi="Verdana" w:cs="Times New Roman"/>
          <w:color w:val="655A41"/>
          <w:sz w:val="18"/>
          <w:szCs w:val="18"/>
        </w:rPr>
        <w:br/>
        <w:t>Appropriate care investigating the business condition of an acquisition target.</w:t>
      </w:r>
      <w:proofErr w:type="gramEnd"/>
      <w:r w:rsidRPr="002219CE">
        <w:rPr>
          <w:rFonts w:ascii="Verdana" w:eastAsia="Times New Roman" w:hAnsi="Verdana" w:cs="Times New Roman"/>
          <w:color w:val="655A41"/>
          <w:sz w:val="18"/>
          <w:szCs w:val="18"/>
        </w:rPr>
        <w:t xml:space="preserve"> It can be difficult for an outsider to learn enough about an operation to make an informed decision, but it is critically important.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Duplication</w:t>
      </w:r>
      <w:r w:rsidRPr="002219CE">
        <w:rPr>
          <w:rFonts w:ascii="Verdana" w:eastAsia="Times New Roman" w:hAnsi="Verdana" w:cs="Times New Roman"/>
          <w:color w:val="655A41"/>
          <w:sz w:val="18"/>
          <w:szCs w:val="18"/>
        </w:rPr>
        <w:br/>
      </w:r>
      <w:proofErr w:type="gramStart"/>
      <w:r w:rsidRPr="002219CE">
        <w:rPr>
          <w:rFonts w:ascii="Verdana" w:eastAsia="Times New Roman" w:hAnsi="Verdana" w:cs="Times New Roman"/>
          <w:color w:val="655A41"/>
          <w:sz w:val="18"/>
          <w:szCs w:val="18"/>
        </w:rPr>
        <w:t>Competing</w:t>
      </w:r>
      <w:proofErr w:type="gramEnd"/>
      <w:r w:rsidRPr="002219CE">
        <w:rPr>
          <w:rFonts w:ascii="Verdana" w:eastAsia="Times New Roman" w:hAnsi="Verdana" w:cs="Times New Roman"/>
          <w:color w:val="655A41"/>
          <w:sz w:val="18"/>
          <w:szCs w:val="18"/>
        </w:rPr>
        <w:t xml:space="preserve"> products may cannibalize each other, or competing improvement projects may claim the same benefits. </w:t>
      </w:r>
    </w:p>
    <w:p w:rsidR="002219CE" w:rsidRPr="002219CE" w:rsidRDefault="002219CE" w:rsidP="002219CE">
      <w:pPr>
        <w:spacing w:after="165" w:line="240" w:lineRule="auto"/>
        <w:jc w:val="right"/>
        <w:rPr>
          <w:rFonts w:ascii="Verdana" w:eastAsia="Times New Roman" w:hAnsi="Verdana" w:cs="Times New Roman"/>
          <w:b/>
          <w:bCs/>
          <w:color w:val="506C50"/>
          <w:sz w:val="18"/>
          <w:szCs w:val="18"/>
        </w:rPr>
      </w:pPr>
    </w:p>
    <w:p w:rsidR="002219CE" w:rsidRPr="002219CE" w:rsidRDefault="002219CE" w:rsidP="002219CE">
      <w:pPr>
        <w:spacing w:after="0" w:line="240" w:lineRule="auto"/>
        <w:rPr>
          <w:rFonts w:ascii="Verdana" w:eastAsia="Times New Roman" w:hAnsi="Verdana" w:cs="Times New Roman"/>
          <w:color w:val="655A41"/>
          <w:sz w:val="18"/>
          <w:szCs w:val="18"/>
        </w:rPr>
      </w:pPr>
      <w:bookmarkStart w:id="3" w:name="E"/>
      <w:bookmarkEnd w:id="3"/>
      <w:r>
        <w:rPr>
          <w:rFonts w:ascii="Verdana" w:eastAsia="Times New Roman" w:hAnsi="Verdana" w:cs="Times New Roman"/>
          <w:noProof/>
          <w:color w:val="655A41"/>
          <w:sz w:val="18"/>
          <w:szCs w:val="18"/>
          <w:shd w:val="clear" w:color="auto" w:fill="F0EDEB"/>
        </w:rPr>
        <w:drawing>
          <wp:inline distT="0" distB="0" distL="0" distR="0">
            <wp:extent cx="4381500" cy="228600"/>
            <wp:effectExtent l="19050" t="0" r="0" b="0"/>
            <wp:docPr id="5" name="Picture 5" desc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
                    <pic:cNvPicPr>
                      <a:picLocks noChangeAspect="1" noChangeArrowheads="1"/>
                    </pic:cNvPicPr>
                  </pic:nvPicPr>
                  <pic:blipFill>
                    <a:blip r:embed="rId9"/>
                    <a:srcRect/>
                    <a:stretch>
                      <a:fillRect/>
                    </a:stretch>
                  </pic:blipFill>
                  <pic:spPr bwMode="auto">
                    <a:xfrm>
                      <a:off x="0" y="0"/>
                      <a:ext cx="4381500" cy="228600"/>
                    </a:xfrm>
                    <a:prstGeom prst="rect">
                      <a:avLst/>
                    </a:prstGeom>
                    <a:noFill/>
                    <a:ln w="9525">
                      <a:noFill/>
                      <a:miter lim="800000"/>
                      <a:headEnd/>
                      <a:tailEnd/>
                    </a:ln>
                  </pic:spPr>
                </pic:pic>
              </a:graphicData>
            </a:graphic>
          </wp:inline>
        </w:drawing>
      </w:r>
    </w:p>
    <w:p w:rsidR="002219CE" w:rsidRPr="002219CE" w:rsidRDefault="002219CE" w:rsidP="002219CE">
      <w:pPr>
        <w:spacing w:before="105" w:after="165" w:line="240" w:lineRule="auto"/>
        <w:ind w:left="330" w:right="270"/>
        <w:rPr>
          <w:rFonts w:ascii="Verdana" w:eastAsia="Times New Roman" w:hAnsi="Verdana" w:cs="Times New Roman"/>
          <w:color w:val="655A41"/>
          <w:sz w:val="18"/>
          <w:szCs w:val="18"/>
        </w:rPr>
      </w:pPr>
      <w:r w:rsidRPr="002219CE">
        <w:rPr>
          <w:rFonts w:ascii="Verdana" w:eastAsia="Times New Roman" w:hAnsi="Verdana" w:cs="Times New Roman"/>
          <w:b/>
          <w:bCs/>
          <w:color w:val="655A41"/>
          <w:sz w:val="20"/>
        </w:rPr>
        <w:t>EBITDA (Earnings before Interest, Taxes, Depreciation, and Amortization</w:t>
      </w:r>
      <w:proofErr w:type="gramStart"/>
      <w:r w:rsidRPr="002219CE">
        <w:rPr>
          <w:rFonts w:ascii="Verdana" w:eastAsia="Times New Roman" w:hAnsi="Verdana" w:cs="Times New Roman"/>
          <w:b/>
          <w:bCs/>
          <w:color w:val="655A41"/>
          <w:sz w:val="20"/>
        </w:rPr>
        <w:t>)</w:t>
      </w:r>
      <w:proofErr w:type="gramEnd"/>
      <w:r w:rsidRPr="002219CE">
        <w:rPr>
          <w:rFonts w:ascii="Verdana" w:eastAsia="Times New Roman" w:hAnsi="Verdana" w:cs="Times New Roman"/>
          <w:color w:val="655A41"/>
          <w:sz w:val="18"/>
          <w:szCs w:val="18"/>
        </w:rPr>
        <w:br/>
        <w:t xml:space="preserve">This measure is commonly used by investors to understand a company's ability to incur and service debt.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Economic life</w:t>
      </w:r>
      <w:r w:rsidRPr="002219CE">
        <w:rPr>
          <w:rFonts w:ascii="Verdana" w:eastAsia="Times New Roman" w:hAnsi="Verdana" w:cs="Times New Roman"/>
          <w:color w:val="655A41"/>
          <w:sz w:val="18"/>
          <w:szCs w:val="18"/>
        </w:rPr>
        <w:br/>
      </w:r>
      <w:proofErr w:type="gramStart"/>
      <w:r w:rsidRPr="002219CE">
        <w:rPr>
          <w:rFonts w:ascii="Verdana" w:eastAsia="Times New Roman" w:hAnsi="Verdana" w:cs="Times New Roman"/>
          <w:color w:val="655A41"/>
          <w:sz w:val="18"/>
          <w:szCs w:val="18"/>
        </w:rPr>
        <w:t>The</w:t>
      </w:r>
      <w:proofErr w:type="gramEnd"/>
      <w:r w:rsidRPr="002219CE">
        <w:rPr>
          <w:rFonts w:ascii="Verdana" w:eastAsia="Times New Roman" w:hAnsi="Verdana" w:cs="Times New Roman"/>
          <w:color w:val="655A41"/>
          <w:sz w:val="18"/>
          <w:szCs w:val="18"/>
        </w:rPr>
        <w:t xml:space="preserve"> period during which an asset provides value to a company. Not necessarily linked to an asset's market value or its physical life.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Economic Order Quantity</w:t>
      </w:r>
      <w:r w:rsidRPr="002219CE">
        <w:rPr>
          <w:rFonts w:ascii="Verdana" w:eastAsia="Times New Roman" w:hAnsi="Verdana" w:cs="Times New Roman"/>
          <w:color w:val="655A41"/>
          <w:sz w:val="18"/>
          <w:szCs w:val="18"/>
        </w:rPr>
        <w:br/>
      </w:r>
      <w:proofErr w:type="gramStart"/>
      <w:r w:rsidRPr="002219CE">
        <w:rPr>
          <w:rFonts w:ascii="Verdana" w:eastAsia="Times New Roman" w:hAnsi="Verdana" w:cs="Times New Roman"/>
          <w:color w:val="655A41"/>
          <w:sz w:val="18"/>
          <w:szCs w:val="18"/>
        </w:rPr>
        <w:t>The</w:t>
      </w:r>
      <w:proofErr w:type="gramEnd"/>
      <w:r w:rsidRPr="002219CE">
        <w:rPr>
          <w:rFonts w:ascii="Verdana" w:eastAsia="Times New Roman" w:hAnsi="Verdana" w:cs="Times New Roman"/>
          <w:color w:val="655A41"/>
          <w:sz w:val="18"/>
          <w:szCs w:val="18"/>
        </w:rPr>
        <w:t xml:space="preserve"> right amount to order to optimize the trade-off between volume discounts or similar quantity incentives, and the carrying cost of inventory.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lastRenderedPageBreak/>
        <w:t>Elimination</w:t>
      </w:r>
      <w:r w:rsidRPr="002219CE">
        <w:rPr>
          <w:rFonts w:ascii="Verdana" w:eastAsia="Times New Roman" w:hAnsi="Verdana" w:cs="Times New Roman"/>
          <w:color w:val="655A41"/>
          <w:sz w:val="18"/>
          <w:szCs w:val="18"/>
        </w:rPr>
        <w:br/>
      </w:r>
      <w:proofErr w:type="gramStart"/>
      <w:r w:rsidRPr="002219CE">
        <w:rPr>
          <w:rFonts w:ascii="Verdana" w:eastAsia="Times New Roman" w:hAnsi="Verdana" w:cs="Times New Roman"/>
          <w:color w:val="655A41"/>
          <w:sz w:val="18"/>
          <w:szCs w:val="18"/>
        </w:rPr>
        <w:t>When</w:t>
      </w:r>
      <w:proofErr w:type="gramEnd"/>
      <w:r w:rsidRPr="002219CE">
        <w:rPr>
          <w:rFonts w:ascii="Verdana" w:eastAsia="Times New Roman" w:hAnsi="Verdana" w:cs="Times New Roman"/>
          <w:color w:val="655A41"/>
          <w:sz w:val="18"/>
          <w:szCs w:val="18"/>
        </w:rPr>
        <w:t xml:space="preserve"> combining business entities, certain intra-company transactions are subtracted to avoid double-counting.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EOQ (Economic Order Quantity</w:t>
      </w:r>
      <w:proofErr w:type="gramStart"/>
      <w:r w:rsidRPr="002219CE">
        <w:rPr>
          <w:rFonts w:ascii="Verdana" w:eastAsia="Times New Roman" w:hAnsi="Verdana" w:cs="Times New Roman"/>
          <w:b/>
          <w:bCs/>
          <w:color w:val="655A41"/>
          <w:sz w:val="20"/>
        </w:rPr>
        <w:t>)</w:t>
      </w:r>
      <w:proofErr w:type="gramEnd"/>
      <w:r w:rsidRPr="002219CE">
        <w:rPr>
          <w:rFonts w:ascii="Verdana" w:eastAsia="Times New Roman" w:hAnsi="Verdana" w:cs="Times New Roman"/>
          <w:color w:val="655A41"/>
          <w:sz w:val="18"/>
          <w:szCs w:val="18"/>
        </w:rPr>
        <w:br/>
        <w:t xml:space="preserve">EOQ is the right amount of an item to order to minimize the trade-off between ordering costs and the carrying cost of inventory.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Excel Security</w:t>
      </w:r>
      <w:r w:rsidRPr="002219CE">
        <w:rPr>
          <w:rFonts w:ascii="Verdana" w:eastAsia="Times New Roman" w:hAnsi="Verdana" w:cs="Times New Roman"/>
          <w:color w:val="655A41"/>
          <w:sz w:val="18"/>
          <w:szCs w:val="18"/>
        </w:rPr>
        <w:br/>
        <w:t xml:space="preserve">Early VBA viruses prompted Microsoft to create the security feature and to set it on "High" as the initial configuration, automatically blocking any file with VBA. The "Medium" setting will notify the user if VBA is attached to an Excel file, and provide the option to enable or disable the macros (VBA). </w:t>
      </w:r>
    </w:p>
    <w:p w:rsidR="002219CE" w:rsidRPr="002219CE" w:rsidRDefault="002219CE" w:rsidP="002219CE">
      <w:pPr>
        <w:spacing w:after="165" w:line="240" w:lineRule="auto"/>
        <w:jc w:val="right"/>
        <w:rPr>
          <w:rFonts w:ascii="Verdana" w:eastAsia="Times New Roman" w:hAnsi="Verdana" w:cs="Times New Roman"/>
          <w:b/>
          <w:bCs/>
          <w:color w:val="506C50"/>
          <w:sz w:val="18"/>
          <w:szCs w:val="18"/>
        </w:rPr>
      </w:pPr>
      <w:hyperlink r:id="rId10" w:history="1">
        <w:r w:rsidRPr="002219CE">
          <w:rPr>
            <w:rFonts w:ascii="Verdana" w:eastAsia="Times New Roman" w:hAnsi="Verdana" w:cs="Times New Roman"/>
            <w:b/>
            <w:bCs/>
            <w:color w:val="506C50"/>
            <w:sz w:val="18"/>
            <w:u w:val="single"/>
          </w:rPr>
          <w:t>Learn More</w:t>
        </w:r>
      </w:hyperlink>
      <w:r w:rsidRPr="002219CE">
        <w:rPr>
          <w:rFonts w:ascii="Verdana" w:eastAsia="Times New Roman" w:hAnsi="Verdana" w:cs="Times New Roman"/>
          <w:b/>
          <w:bCs/>
          <w:color w:val="506C50"/>
          <w:sz w:val="18"/>
          <w:szCs w:val="18"/>
        </w:rPr>
        <w:t xml:space="preserve"> »</w:t>
      </w:r>
    </w:p>
    <w:p w:rsidR="002219CE" w:rsidRPr="002219CE" w:rsidRDefault="002219CE" w:rsidP="002219CE">
      <w:pPr>
        <w:spacing w:after="0" w:line="240" w:lineRule="auto"/>
        <w:rPr>
          <w:rFonts w:ascii="Verdana" w:eastAsia="Times New Roman" w:hAnsi="Verdana" w:cs="Times New Roman"/>
          <w:color w:val="655A41"/>
          <w:sz w:val="18"/>
          <w:szCs w:val="18"/>
        </w:rPr>
      </w:pPr>
    </w:p>
    <w:p w:rsidR="002219CE" w:rsidRPr="002219CE" w:rsidRDefault="002219CE" w:rsidP="002219CE">
      <w:pPr>
        <w:spacing w:after="165" w:line="240" w:lineRule="auto"/>
        <w:jc w:val="right"/>
        <w:rPr>
          <w:rFonts w:ascii="Verdana" w:eastAsia="Times New Roman" w:hAnsi="Verdana" w:cs="Times New Roman"/>
          <w:b/>
          <w:bCs/>
          <w:color w:val="506C50"/>
          <w:sz w:val="18"/>
          <w:szCs w:val="18"/>
        </w:rPr>
      </w:pPr>
    </w:p>
    <w:p w:rsidR="002219CE" w:rsidRPr="002219CE" w:rsidRDefault="002219CE" w:rsidP="002219CE">
      <w:pPr>
        <w:spacing w:after="0" w:line="240" w:lineRule="auto"/>
        <w:rPr>
          <w:rFonts w:ascii="Verdana" w:eastAsia="Times New Roman" w:hAnsi="Verdana" w:cs="Times New Roman"/>
          <w:color w:val="655A41"/>
          <w:sz w:val="18"/>
          <w:szCs w:val="18"/>
        </w:rPr>
      </w:pPr>
      <w:bookmarkStart w:id="4" w:name="F"/>
      <w:bookmarkEnd w:id="4"/>
      <w:r>
        <w:rPr>
          <w:rFonts w:ascii="Verdana" w:eastAsia="Times New Roman" w:hAnsi="Verdana" w:cs="Times New Roman"/>
          <w:noProof/>
          <w:color w:val="655A41"/>
          <w:sz w:val="18"/>
          <w:szCs w:val="18"/>
          <w:shd w:val="clear" w:color="auto" w:fill="F0EDEB"/>
        </w:rPr>
        <w:drawing>
          <wp:inline distT="0" distB="0" distL="0" distR="0">
            <wp:extent cx="4381500" cy="228600"/>
            <wp:effectExtent l="19050" t="0" r="0" b="0"/>
            <wp:docPr id="6" name="Picture 6"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
                    <pic:cNvPicPr>
                      <a:picLocks noChangeAspect="1" noChangeArrowheads="1"/>
                    </pic:cNvPicPr>
                  </pic:nvPicPr>
                  <pic:blipFill>
                    <a:blip r:embed="rId11"/>
                    <a:srcRect/>
                    <a:stretch>
                      <a:fillRect/>
                    </a:stretch>
                  </pic:blipFill>
                  <pic:spPr bwMode="auto">
                    <a:xfrm>
                      <a:off x="0" y="0"/>
                      <a:ext cx="4381500" cy="228600"/>
                    </a:xfrm>
                    <a:prstGeom prst="rect">
                      <a:avLst/>
                    </a:prstGeom>
                    <a:noFill/>
                    <a:ln w="9525">
                      <a:noFill/>
                      <a:miter lim="800000"/>
                      <a:headEnd/>
                      <a:tailEnd/>
                    </a:ln>
                  </pic:spPr>
                </pic:pic>
              </a:graphicData>
            </a:graphic>
          </wp:inline>
        </w:drawing>
      </w:r>
    </w:p>
    <w:p w:rsidR="002219CE" w:rsidRPr="002219CE" w:rsidRDefault="002219CE" w:rsidP="002219CE">
      <w:pPr>
        <w:spacing w:before="105" w:after="165" w:line="240" w:lineRule="auto"/>
        <w:ind w:left="330" w:right="270"/>
        <w:rPr>
          <w:rFonts w:ascii="Verdana" w:eastAsia="Times New Roman" w:hAnsi="Verdana" w:cs="Times New Roman"/>
          <w:color w:val="655A41"/>
          <w:sz w:val="18"/>
          <w:szCs w:val="18"/>
        </w:rPr>
      </w:pPr>
      <w:r w:rsidRPr="002219CE">
        <w:rPr>
          <w:rFonts w:ascii="Verdana" w:eastAsia="Times New Roman" w:hAnsi="Verdana" w:cs="Times New Roman"/>
          <w:b/>
          <w:bCs/>
          <w:color w:val="655A41"/>
          <w:sz w:val="20"/>
        </w:rPr>
        <w:t>Financial Accounting Standards Board (FASB</w:t>
      </w:r>
      <w:proofErr w:type="gramStart"/>
      <w:r w:rsidRPr="002219CE">
        <w:rPr>
          <w:rFonts w:ascii="Verdana" w:eastAsia="Times New Roman" w:hAnsi="Verdana" w:cs="Times New Roman"/>
          <w:b/>
          <w:bCs/>
          <w:color w:val="655A41"/>
          <w:sz w:val="20"/>
        </w:rPr>
        <w:t>)</w:t>
      </w:r>
      <w:proofErr w:type="gramEnd"/>
      <w:r w:rsidRPr="002219CE">
        <w:rPr>
          <w:rFonts w:ascii="Verdana" w:eastAsia="Times New Roman" w:hAnsi="Verdana" w:cs="Times New Roman"/>
          <w:color w:val="655A41"/>
          <w:sz w:val="18"/>
          <w:szCs w:val="18"/>
        </w:rPr>
        <w:br/>
        <w:t xml:space="preserve">A non-governmental body that sets accounting standards for CPAs in the United States.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proofErr w:type="gramStart"/>
      <w:r w:rsidRPr="002219CE">
        <w:rPr>
          <w:rFonts w:ascii="Verdana" w:eastAsia="Times New Roman" w:hAnsi="Verdana" w:cs="Times New Roman"/>
          <w:b/>
          <w:bCs/>
          <w:color w:val="655A41"/>
          <w:sz w:val="20"/>
        </w:rPr>
        <w:t>Financial Analysis</w:t>
      </w:r>
      <w:r w:rsidRPr="002219CE">
        <w:rPr>
          <w:rFonts w:ascii="Verdana" w:eastAsia="Times New Roman" w:hAnsi="Verdana" w:cs="Times New Roman"/>
          <w:color w:val="655A41"/>
          <w:sz w:val="18"/>
          <w:szCs w:val="18"/>
        </w:rPr>
        <w:br/>
        <w:t>Any analysis of the revenues, costs, assets, or liabilities of a business.</w:t>
      </w:r>
      <w:proofErr w:type="gramEnd"/>
      <w:r w:rsidRPr="002219CE">
        <w:rPr>
          <w:rFonts w:ascii="Verdana" w:eastAsia="Times New Roman" w:hAnsi="Verdana" w:cs="Times New Roman"/>
          <w:color w:val="655A41"/>
          <w:sz w:val="18"/>
          <w:szCs w:val="18"/>
        </w:rPr>
        <w:t xml:space="preserve"> See Business Case.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proofErr w:type="gramStart"/>
      <w:r w:rsidRPr="002219CE">
        <w:rPr>
          <w:rFonts w:ascii="Verdana" w:eastAsia="Times New Roman" w:hAnsi="Verdana" w:cs="Times New Roman"/>
          <w:b/>
          <w:bCs/>
          <w:color w:val="655A41"/>
          <w:sz w:val="20"/>
        </w:rPr>
        <w:t>Financial Case</w:t>
      </w:r>
      <w:r w:rsidRPr="002219CE">
        <w:rPr>
          <w:rFonts w:ascii="Verdana" w:eastAsia="Times New Roman" w:hAnsi="Verdana" w:cs="Times New Roman"/>
          <w:color w:val="655A41"/>
          <w:sz w:val="18"/>
          <w:szCs w:val="18"/>
        </w:rPr>
        <w:br/>
        <w:t>The financial analysis of investments and returns supporting a proposed action.</w:t>
      </w:r>
      <w:proofErr w:type="gramEnd"/>
      <w:r w:rsidRPr="002219CE">
        <w:rPr>
          <w:rFonts w:ascii="Verdana" w:eastAsia="Times New Roman" w:hAnsi="Verdana" w:cs="Times New Roman"/>
          <w:color w:val="655A41"/>
          <w:sz w:val="18"/>
          <w:szCs w:val="18"/>
        </w:rPr>
        <w:t xml:space="preserve"> See Business Case.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proofErr w:type="gramStart"/>
      <w:r w:rsidRPr="002219CE">
        <w:rPr>
          <w:rFonts w:ascii="Verdana" w:eastAsia="Times New Roman" w:hAnsi="Verdana" w:cs="Times New Roman"/>
          <w:b/>
          <w:bCs/>
          <w:color w:val="655A41"/>
          <w:sz w:val="20"/>
        </w:rPr>
        <w:t>Financial Elements</w:t>
      </w:r>
      <w:r w:rsidRPr="002219CE">
        <w:rPr>
          <w:rFonts w:ascii="Verdana" w:eastAsia="Times New Roman" w:hAnsi="Verdana" w:cs="Times New Roman"/>
          <w:color w:val="655A41"/>
          <w:sz w:val="18"/>
          <w:szCs w:val="18"/>
        </w:rPr>
        <w:br/>
        <w:t>The categories of revenue, cost, assets, liabilities, and equities that comprise the Chart of Accounts.</w:t>
      </w:r>
      <w:proofErr w:type="gramEnd"/>
      <w:r w:rsidRPr="002219CE">
        <w:rPr>
          <w:rFonts w:ascii="Verdana" w:eastAsia="Times New Roman" w:hAnsi="Verdana" w:cs="Times New Roman"/>
          <w:color w:val="655A41"/>
          <w:sz w:val="18"/>
          <w:szCs w:val="18"/>
        </w:rPr>
        <w:t xml:space="preserve"> Summaries of these are used in financial statements to depict the company's strength and financial direction.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Financial Leverage</w:t>
      </w:r>
      <w:r w:rsidRPr="002219CE">
        <w:rPr>
          <w:rFonts w:ascii="Verdana" w:eastAsia="Times New Roman" w:hAnsi="Verdana" w:cs="Times New Roman"/>
          <w:color w:val="655A41"/>
          <w:sz w:val="18"/>
          <w:szCs w:val="18"/>
        </w:rPr>
        <w:br/>
        <w:t xml:space="preserve">Financial Leverage refers to the capacity to borrow (Assets divided by Book Value) and depends on a company's leverage with lending sources and the stock market.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Financial Model</w:t>
      </w:r>
      <w:r w:rsidRPr="002219CE">
        <w:rPr>
          <w:rFonts w:ascii="Verdana" w:eastAsia="Times New Roman" w:hAnsi="Verdana" w:cs="Times New Roman"/>
          <w:color w:val="655A41"/>
          <w:sz w:val="18"/>
          <w:szCs w:val="18"/>
        </w:rPr>
        <w:br/>
      </w:r>
      <w:proofErr w:type="gramStart"/>
      <w:r w:rsidRPr="002219CE">
        <w:rPr>
          <w:rFonts w:ascii="Verdana" w:eastAsia="Times New Roman" w:hAnsi="Verdana" w:cs="Times New Roman"/>
          <w:color w:val="655A41"/>
          <w:sz w:val="18"/>
          <w:szCs w:val="18"/>
        </w:rPr>
        <w:t>A</w:t>
      </w:r>
      <w:proofErr w:type="gramEnd"/>
      <w:r w:rsidRPr="002219CE">
        <w:rPr>
          <w:rFonts w:ascii="Verdana" w:eastAsia="Times New Roman" w:hAnsi="Verdana" w:cs="Times New Roman"/>
          <w:color w:val="655A41"/>
          <w:sz w:val="18"/>
          <w:szCs w:val="18"/>
        </w:rPr>
        <w:t xml:space="preserve"> representation of the financial inputs and outputs of a business in mathematical or abstract terms. See Business Model.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Financial Statements</w:t>
      </w:r>
      <w:r w:rsidRPr="002219CE">
        <w:rPr>
          <w:rFonts w:ascii="Verdana" w:eastAsia="Times New Roman" w:hAnsi="Verdana" w:cs="Times New Roman"/>
          <w:color w:val="655A41"/>
          <w:sz w:val="18"/>
          <w:szCs w:val="18"/>
        </w:rPr>
        <w:br/>
        <w:t xml:space="preserve">Financial statements have evolved over the years to show in standard, easy to read format what a company owns and owes (Balance Sheet), whether it is making or losing money (P&amp;L), and whether its cash flow is positive or negative (Cash or Funds Flow).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Fiscal Year</w:t>
      </w:r>
      <w:r w:rsidRPr="002219CE">
        <w:rPr>
          <w:rFonts w:ascii="Verdana" w:eastAsia="Times New Roman" w:hAnsi="Verdana" w:cs="Times New Roman"/>
          <w:color w:val="655A41"/>
          <w:sz w:val="18"/>
          <w:szCs w:val="18"/>
        </w:rPr>
        <w:br/>
        <w:t xml:space="preserve">The twelve month period a company uses to plan, budget, and report its business. A company's fiscal year may start on the first of any month, ending the last day of the twelfth month following, typically labeled as "For the Year Ending June 30, 2004."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Fixed Cost</w:t>
      </w:r>
      <w:r w:rsidRPr="002219CE">
        <w:rPr>
          <w:rFonts w:ascii="Verdana" w:eastAsia="Times New Roman" w:hAnsi="Verdana" w:cs="Times New Roman"/>
          <w:color w:val="655A41"/>
          <w:sz w:val="18"/>
          <w:szCs w:val="18"/>
        </w:rPr>
        <w:br/>
        <w:t xml:space="preserve">Costs that don't change with changes in volume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Free Cash Flow</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lastRenderedPageBreak/>
        <w:t xml:space="preserve">Cash available to pay to owners and lenders, calculated by subtracting Dividends and After Tax Interest from Net Cash Flow for a period.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Full Time Equivalent (FTE</w:t>
      </w:r>
      <w:proofErr w:type="gramStart"/>
      <w:r w:rsidRPr="002219CE">
        <w:rPr>
          <w:rFonts w:ascii="Verdana" w:eastAsia="Times New Roman" w:hAnsi="Verdana" w:cs="Times New Roman"/>
          <w:b/>
          <w:bCs/>
          <w:color w:val="655A41"/>
          <w:sz w:val="20"/>
        </w:rPr>
        <w:t>)</w:t>
      </w:r>
      <w:proofErr w:type="gramEnd"/>
      <w:r w:rsidRPr="002219CE">
        <w:rPr>
          <w:rFonts w:ascii="Verdana" w:eastAsia="Times New Roman" w:hAnsi="Verdana" w:cs="Times New Roman"/>
          <w:color w:val="655A41"/>
          <w:sz w:val="18"/>
          <w:szCs w:val="18"/>
        </w:rPr>
        <w:br/>
        <w:t xml:space="preserve">The equivalent of a full time person on staff. For example, if ten people work 25% of the time, that is equivalent to 2.5 full time people. </w:t>
      </w:r>
    </w:p>
    <w:p w:rsidR="002219CE" w:rsidRPr="002219CE" w:rsidRDefault="002219CE" w:rsidP="002219CE">
      <w:pPr>
        <w:spacing w:after="165" w:line="240" w:lineRule="auto"/>
        <w:jc w:val="right"/>
        <w:rPr>
          <w:rFonts w:ascii="Verdana" w:eastAsia="Times New Roman" w:hAnsi="Verdana" w:cs="Times New Roman"/>
          <w:b/>
          <w:bCs/>
          <w:color w:val="506C50"/>
          <w:sz w:val="18"/>
          <w:szCs w:val="18"/>
        </w:rPr>
      </w:pPr>
    </w:p>
    <w:p w:rsidR="002219CE" w:rsidRPr="002219CE" w:rsidRDefault="002219CE" w:rsidP="002219CE">
      <w:pPr>
        <w:spacing w:after="0" w:line="240" w:lineRule="auto"/>
        <w:rPr>
          <w:rFonts w:ascii="Verdana" w:eastAsia="Times New Roman" w:hAnsi="Verdana" w:cs="Times New Roman"/>
          <w:color w:val="655A41"/>
          <w:sz w:val="18"/>
          <w:szCs w:val="18"/>
        </w:rPr>
      </w:pPr>
      <w:bookmarkStart w:id="5" w:name="G"/>
      <w:bookmarkEnd w:id="5"/>
      <w:r>
        <w:rPr>
          <w:rFonts w:ascii="Verdana" w:eastAsia="Times New Roman" w:hAnsi="Verdana" w:cs="Times New Roman"/>
          <w:noProof/>
          <w:color w:val="655A41"/>
          <w:sz w:val="18"/>
          <w:szCs w:val="18"/>
          <w:shd w:val="clear" w:color="auto" w:fill="F0EDEB"/>
        </w:rPr>
        <w:drawing>
          <wp:inline distT="0" distB="0" distL="0" distR="0">
            <wp:extent cx="4381500" cy="228600"/>
            <wp:effectExtent l="19050" t="0" r="0" b="0"/>
            <wp:docPr id="7" name="Picture 7" desc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
                    <pic:cNvPicPr>
                      <a:picLocks noChangeAspect="1" noChangeArrowheads="1"/>
                    </pic:cNvPicPr>
                  </pic:nvPicPr>
                  <pic:blipFill>
                    <a:blip r:embed="rId12"/>
                    <a:srcRect/>
                    <a:stretch>
                      <a:fillRect/>
                    </a:stretch>
                  </pic:blipFill>
                  <pic:spPr bwMode="auto">
                    <a:xfrm>
                      <a:off x="0" y="0"/>
                      <a:ext cx="4381500" cy="228600"/>
                    </a:xfrm>
                    <a:prstGeom prst="rect">
                      <a:avLst/>
                    </a:prstGeom>
                    <a:noFill/>
                    <a:ln w="9525">
                      <a:noFill/>
                      <a:miter lim="800000"/>
                      <a:headEnd/>
                      <a:tailEnd/>
                    </a:ln>
                  </pic:spPr>
                </pic:pic>
              </a:graphicData>
            </a:graphic>
          </wp:inline>
        </w:drawing>
      </w:r>
    </w:p>
    <w:p w:rsidR="002219CE" w:rsidRPr="002219CE" w:rsidRDefault="002219CE" w:rsidP="002219CE">
      <w:pPr>
        <w:spacing w:before="105" w:after="165" w:line="240" w:lineRule="auto"/>
        <w:ind w:left="330" w:right="270"/>
        <w:rPr>
          <w:rFonts w:ascii="Verdana" w:eastAsia="Times New Roman" w:hAnsi="Verdana" w:cs="Times New Roman"/>
          <w:color w:val="655A41"/>
          <w:sz w:val="18"/>
          <w:szCs w:val="18"/>
        </w:rPr>
      </w:pPr>
      <w:r w:rsidRPr="002219CE">
        <w:rPr>
          <w:rFonts w:ascii="Verdana" w:eastAsia="Times New Roman" w:hAnsi="Verdana" w:cs="Times New Roman"/>
          <w:b/>
          <w:bCs/>
          <w:color w:val="655A41"/>
          <w:sz w:val="20"/>
        </w:rPr>
        <w:t>Generally Accepted Accounting Principles (GAAP</w:t>
      </w:r>
      <w:proofErr w:type="gramStart"/>
      <w:r w:rsidRPr="002219CE">
        <w:rPr>
          <w:rFonts w:ascii="Verdana" w:eastAsia="Times New Roman" w:hAnsi="Verdana" w:cs="Times New Roman"/>
          <w:b/>
          <w:bCs/>
          <w:color w:val="655A41"/>
          <w:sz w:val="20"/>
        </w:rPr>
        <w:t>)</w:t>
      </w:r>
      <w:proofErr w:type="gramEnd"/>
      <w:r w:rsidRPr="002219CE">
        <w:rPr>
          <w:rFonts w:ascii="Verdana" w:eastAsia="Times New Roman" w:hAnsi="Verdana" w:cs="Times New Roman"/>
          <w:color w:val="655A41"/>
          <w:sz w:val="18"/>
          <w:szCs w:val="18"/>
        </w:rPr>
        <w:br/>
        <w:t xml:space="preserve">Standards, conventions, and rules issued by FASB and followed by accountants to record and summarize transactions and prepare reports.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Gross Profit and Gross Profit Margin</w:t>
      </w:r>
      <w:r w:rsidRPr="002219CE">
        <w:rPr>
          <w:rFonts w:ascii="Verdana" w:eastAsia="Times New Roman" w:hAnsi="Verdana" w:cs="Times New Roman"/>
          <w:color w:val="655A41"/>
          <w:sz w:val="18"/>
          <w:szCs w:val="18"/>
        </w:rPr>
        <w:br/>
        <w:t xml:space="preserve">Gross Profit is the contribution made toward corporate expenses by the sale of products, calculated as Revenue less Cost of Goods Sold. Gross Profit Margin is a percentage, Gross Profit divided by Revenue.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Goodwill</w:t>
      </w:r>
      <w:r w:rsidRPr="002219CE">
        <w:rPr>
          <w:rFonts w:ascii="Verdana" w:eastAsia="Times New Roman" w:hAnsi="Verdana" w:cs="Times New Roman"/>
          <w:color w:val="655A41"/>
          <w:sz w:val="18"/>
          <w:szCs w:val="18"/>
        </w:rPr>
        <w:br/>
      </w:r>
      <w:proofErr w:type="gramStart"/>
      <w:r w:rsidRPr="002219CE">
        <w:rPr>
          <w:rFonts w:ascii="Verdana" w:eastAsia="Times New Roman" w:hAnsi="Verdana" w:cs="Times New Roman"/>
          <w:color w:val="655A41"/>
          <w:sz w:val="18"/>
          <w:szCs w:val="18"/>
        </w:rPr>
        <w:t>An</w:t>
      </w:r>
      <w:proofErr w:type="gramEnd"/>
      <w:r w:rsidRPr="002219CE">
        <w:rPr>
          <w:rFonts w:ascii="Verdana" w:eastAsia="Times New Roman" w:hAnsi="Verdana" w:cs="Times New Roman"/>
          <w:color w:val="655A41"/>
          <w:sz w:val="18"/>
          <w:szCs w:val="18"/>
        </w:rPr>
        <w:t xml:space="preserve"> intangible asset generated when an entity is purchased for more than its book value, assumed to be for reputation and customer base. </w:t>
      </w:r>
    </w:p>
    <w:p w:rsidR="002219CE" w:rsidRPr="002219CE" w:rsidRDefault="002219CE" w:rsidP="002219CE">
      <w:pPr>
        <w:spacing w:after="165" w:line="240" w:lineRule="auto"/>
        <w:jc w:val="right"/>
        <w:rPr>
          <w:rFonts w:ascii="Verdana" w:eastAsia="Times New Roman" w:hAnsi="Verdana" w:cs="Times New Roman"/>
          <w:b/>
          <w:bCs/>
          <w:color w:val="506C50"/>
          <w:sz w:val="18"/>
          <w:szCs w:val="18"/>
        </w:rPr>
      </w:pPr>
    </w:p>
    <w:p w:rsidR="002219CE" w:rsidRPr="002219CE" w:rsidRDefault="002219CE" w:rsidP="002219CE">
      <w:pPr>
        <w:spacing w:after="0" w:line="240" w:lineRule="auto"/>
        <w:rPr>
          <w:rFonts w:ascii="Verdana" w:eastAsia="Times New Roman" w:hAnsi="Verdana" w:cs="Times New Roman"/>
          <w:color w:val="655A41"/>
          <w:sz w:val="18"/>
          <w:szCs w:val="18"/>
        </w:rPr>
      </w:pPr>
      <w:bookmarkStart w:id="6" w:name="H"/>
      <w:bookmarkEnd w:id="6"/>
      <w:r>
        <w:rPr>
          <w:rFonts w:ascii="Verdana" w:eastAsia="Times New Roman" w:hAnsi="Verdana" w:cs="Times New Roman"/>
          <w:noProof/>
          <w:color w:val="655A41"/>
          <w:sz w:val="18"/>
          <w:szCs w:val="18"/>
          <w:shd w:val="clear" w:color="auto" w:fill="F0EDEB"/>
        </w:rPr>
        <w:drawing>
          <wp:inline distT="0" distB="0" distL="0" distR="0">
            <wp:extent cx="4381500" cy="228600"/>
            <wp:effectExtent l="19050" t="0" r="0" b="0"/>
            <wp:docPr id="8" name="Picture 8"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
                    <pic:cNvPicPr>
                      <a:picLocks noChangeAspect="1" noChangeArrowheads="1"/>
                    </pic:cNvPicPr>
                  </pic:nvPicPr>
                  <pic:blipFill>
                    <a:blip r:embed="rId13"/>
                    <a:srcRect/>
                    <a:stretch>
                      <a:fillRect/>
                    </a:stretch>
                  </pic:blipFill>
                  <pic:spPr bwMode="auto">
                    <a:xfrm>
                      <a:off x="0" y="0"/>
                      <a:ext cx="4381500" cy="228600"/>
                    </a:xfrm>
                    <a:prstGeom prst="rect">
                      <a:avLst/>
                    </a:prstGeom>
                    <a:noFill/>
                    <a:ln w="9525">
                      <a:noFill/>
                      <a:miter lim="800000"/>
                      <a:headEnd/>
                      <a:tailEnd/>
                    </a:ln>
                  </pic:spPr>
                </pic:pic>
              </a:graphicData>
            </a:graphic>
          </wp:inline>
        </w:drawing>
      </w:r>
    </w:p>
    <w:p w:rsidR="002219CE" w:rsidRPr="002219CE" w:rsidRDefault="002219CE" w:rsidP="002219CE">
      <w:pPr>
        <w:spacing w:before="105" w:after="165" w:line="240" w:lineRule="auto"/>
        <w:ind w:left="330" w:right="270"/>
        <w:rPr>
          <w:rFonts w:ascii="Verdana" w:eastAsia="Times New Roman" w:hAnsi="Verdana" w:cs="Times New Roman"/>
          <w:color w:val="655A41"/>
          <w:sz w:val="18"/>
          <w:szCs w:val="18"/>
        </w:rPr>
      </w:pPr>
      <w:proofErr w:type="gramStart"/>
      <w:r w:rsidRPr="002219CE">
        <w:rPr>
          <w:rFonts w:ascii="Verdana" w:eastAsia="Times New Roman" w:hAnsi="Verdana" w:cs="Times New Roman"/>
          <w:b/>
          <w:bCs/>
          <w:color w:val="655A41"/>
          <w:sz w:val="20"/>
        </w:rPr>
        <w:t>Head Count</w:t>
      </w:r>
      <w:r w:rsidRPr="002219CE">
        <w:rPr>
          <w:rFonts w:ascii="Verdana" w:eastAsia="Times New Roman" w:hAnsi="Verdana" w:cs="Times New Roman"/>
          <w:color w:val="655A41"/>
          <w:sz w:val="18"/>
          <w:szCs w:val="18"/>
        </w:rPr>
        <w:br/>
        <w:t>Actual number of people on staff.</w:t>
      </w:r>
      <w:proofErr w:type="gramEnd"/>
      <w:r w:rsidRPr="002219CE">
        <w:rPr>
          <w:rFonts w:ascii="Verdana" w:eastAsia="Times New Roman" w:hAnsi="Verdana" w:cs="Times New Roman"/>
          <w:color w:val="655A41"/>
          <w:sz w:val="18"/>
          <w:szCs w:val="18"/>
        </w:rPr>
        <w:t xml:space="preserve"> As a primary driver of cost in many operations, the head count measurement is often used to manage cost. Full Time Equivalents [see above], period averages, or period end measures may be used. </w:t>
      </w:r>
    </w:p>
    <w:p w:rsidR="002219CE" w:rsidRPr="002219CE" w:rsidRDefault="002219CE" w:rsidP="002219CE">
      <w:pPr>
        <w:spacing w:after="165" w:line="240" w:lineRule="auto"/>
        <w:jc w:val="right"/>
        <w:rPr>
          <w:rFonts w:ascii="Verdana" w:eastAsia="Times New Roman" w:hAnsi="Verdana" w:cs="Times New Roman"/>
          <w:b/>
          <w:bCs/>
          <w:color w:val="506C50"/>
          <w:sz w:val="18"/>
          <w:szCs w:val="18"/>
        </w:rPr>
      </w:pPr>
    </w:p>
    <w:p w:rsidR="002219CE" w:rsidRPr="002219CE" w:rsidRDefault="002219CE" w:rsidP="002219CE">
      <w:pPr>
        <w:spacing w:after="0" w:line="240" w:lineRule="auto"/>
        <w:rPr>
          <w:rFonts w:ascii="Verdana" w:eastAsia="Times New Roman" w:hAnsi="Verdana" w:cs="Times New Roman"/>
          <w:color w:val="655A41"/>
          <w:sz w:val="18"/>
          <w:szCs w:val="18"/>
        </w:rPr>
      </w:pPr>
      <w:bookmarkStart w:id="7" w:name="I"/>
      <w:bookmarkEnd w:id="7"/>
      <w:r>
        <w:rPr>
          <w:rFonts w:ascii="Verdana" w:eastAsia="Times New Roman" w:hAnsi="Verdana" w:cs="Times New Roman"/>
          <w:noProof/>
          <w:color w:val="655A41"/>
          <w:sz w:val="18"/>
          <w:szCs w:val="18"/>
          <w:shd w:val="clear" w:color="auto" w:fill="F0EDEB"/>
        </w:rPr>
        <w:drawing>
          <wp:inline distT="0" distB="0" distL="0" distR="0">
            <wp:extent cx="4381500" cy="228600"/>
            <wp:effectExtent l="19050" t="0" r="0" b="0"/>
            <wp:docPr id="9" name="Picture 9"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
                    <pic:cNvPicPr>
                      <a:picLocks noChangeAspect="1" noChangeArrowheads="1"/>
                    </pic:cNvPicPr>
                  </pic:nvPicPr>
                  <pic:blipFill>
                    <a:blip r:embed="rId14"/>
                    <a:srcRect/>
                    <a:stretch>
                      <a:fillRect/>
                    </a:stretch>
                  </pic:blipFill>
                  <pic:spPr bwMode="auto">
                    <a:xfrm>
                      <a:off x="0" y="0"/>
                      <a:ext cx="4381500" cy="228600"/>
                    </a:xfrm>
                    <a:prstGeom prst="rect">
                      <a:avLst/>
                    </a:prstGeom>
                    <a:noFill/>
                    <a:ln w="9525">
                      <a:noFill/>
                      <a:miter lim="800000"/>
                      <a:headEnd/>
                      <a:tailEnd/>
                    </a:ln>
                  </pic:spPr>
                </pic:pic>
              </a:graphicData>
            </a:graphic>
          </wp:inline>
        </w:drawing>
      </w:r>
    </w:p>
    <w:p w:rsidR="002219CE" w:rsidRPr="002219CE" w:rsidRDefault="002219CE" w:rsidP="002219CE">
      <w:pPr>
        <w:spacing w:before="105" w:after="165" w:line="240" w:lineRule="auto"/>
        <w:ind w:left="330" w:right="270"/>
        <w:rPr>
          <w:rFonts w:ascii="Verdana" w:eastAsia="Times New Roman" w:hAnsi="Verdana" w:cs="Times New Roman"/>
          <w:color w:val="655A41"/>
          <w:sz w:val="18"/>
          <w:szCs w:val="18"/>
        </w:rPr>
      </w:pPr>
      <w:proofErr w:type="gramStart"/>
      <w:r w:rsidRPr="002219CE">
        <w:rPr>
          <w:rFonts w:ascii="Verdana" w:eastAsia="Times New Roman" w:hAnsi="Verdana" w:cs="Times New Roman"/>
          <w:b/>
          <w:bCs/>
          <w:color w:val="655A41"/>
          <w:sz w:val="20"/>
        </w:rPr>
        <w:t>Indirect Labor</w:t>
      </w:r>
      <w:r w:rsidRPr="002219CE">
        <w:rPr>
          <w:rFonts w:ascii="Verdana" w:eastAsia="Times New Roman" w:hAnsi="Verdana" w:cs="Times New Roman"/>
          <w:color w:val="655A41"/>
          <w:sz w:val="18"/>
          <w:szCs w:val="18"/>
        </w:rPr>
        <w:br/>
        <w:t>Labor supporting production.</w:t>
      </w:r>
      <w:proofErr w:type="gramEnd"/>
      <w:r w:rsidRPr="002219CE">
        <w:rPr>
          <w:rFonts w:ascii="Verdana" w:eastAsia="Times New Roman" w:hAnsi="Verdana" w:cs="Times New Roman"/>
          <w:color w:val="655A41"/>
          <w:sz w:val="18"/>
          <w:szCs w:val="18"/>
        </w:rPr>
        <w:t xml:space="preserve">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hyperlink r:id="rId15" w:history="1">
        <w:proofErr w:type="spellStart"/>
        <w:r w:rsidRPr="002219CE">
          <w:rPr>
            <w:rFonts w:ascii="Verdana" w:eastAsia="Times New Roman" w:hAnsi="Verdana" w:cs="Times New Roman"/>
            <w:b/>
            <w:bCs/>
            <w:color w:val="506C50"/>
            <w:sz w:val="20"/>
            <w:u w:val="single"/>
          </w:rPr>
          <w:t>Insource</w:t>
        </w:r>
        <w:proofErr w:type="spellEnd"/>
      </w:hyperlink>
      <w:r w:rsidRPr="002219CE">
        <w:rPr>
          <w:rFonts w:ascii="Verdana" w:eastAsia="Times New Roman" w:hAnsi="Verdana" w:cs="Times New Roman"/>
          <w:color w:val="655A41"/>
          <w:sz w:val="18"/>
          <w:szCs w:val="18"/>
        </w:rPr>
        <w:br/>
        <w:t xml:space="preserve">See Outsource / </w:t>
      </w:r>
      <w:proofErr w:type="spellStart"/>
      <w:r w:rsidRPr="002219CE">
        <w:rPr>
          <w:rFonts w:ascii="Verdana" w:eastAsia="Times New Roman" w:hAnsi="Verdana" w:cs="Times New Roman"/>
          <w:color w:val="655A41"/>
          <w:sz w:val="18"/>
          <w:szCs w:val="18"/>
        </w:rPr>
        <w:t>Insource</w:t>
      </w:r>
      <w:proofErr w:type="spellEnd"/>
      <w:r w:rsidRPr="002219CE">
        <w:rPr>
          <w:rFonts w:ascii="Verdana" w:eastAsia="Times New Roman" w:hAnsi="Verdana" w:cs="Times New Roman"/>
          <w:color w:val="655A41"/>
          <w:sz w:val="18"/>
          <w:szCs w:val="18"/>
        </w:rPr>
        <w:t xml:space="preserve">.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Interest Coverage</w:t>
      </w:r>
      <w:r w:rsidRPr="002219CE">
        <w:rPr>
          <w:rFonts w:ascii="Verdana" w:eastAsia="Times New Roman" w:hAnsi="Verdana" w:cs="Times New Roman"/>
          <w:color w:val="655A41"/>
          <w:sz w:val="18"/>
          <w:szCs w:val="18"/>
        </w:rPr>
        <w:br/>
        <w:t xml:space="preserve">Ability to meet all interest obligations out of earnings calculated as Earnings </w:t>
      </w:r>
      <w:proofErr w:type="gramStart"/>
      <w:r w:rsidRPr="002219CE">
        <w:rPr>
          <w:rFonts w:ascii="Verdana" w:eastAsia="Times New Roman" w:hAnsi="Verdana" w:cs="Times New Roman"/>
          <w:color w:val="655A41"/>
          <w:sz w:val="18"/>
          <w:szCs w:val="18"/>
        </w:rPr>
        <w:t>Before</w:t>
      </w:r>
      <w:proofErr w:type="gramEnd"/>
      <w:r w:rsidRPr="002219CE">
        <w:rPr>
          <w:rFonts w:ascii="Verdana" w:eastAsia="Times New Roman" w:hAnsi="Verdana" w:cs="Times New Roman"/>
          <w:color w:val="655A41"/>
          <w:sz w:val="18"/>
          <w:szCs w:val="18"/>
        </w:rPr>
        <w:t xml:space="preserve"> Interest and Tax divided by Interest.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Interest Rate</w:t>
      </w:r>
      <w:r w:rsidRPr="002219CE">
        <w:rPr>
          <w:rFonts w:ascii="Verdana" w:eastAsia="Times New Roman" w:hAnsi="Verdana" w:cs="Times New Roman"/>
          <w:color w:val="655A41"/>
          <w:sz w:val="18"/>
          <w:szCs w:val="18"/>
        </w:rPr>
        <w:br/>
        <w:t xml:space="preserve">The rate banks charge for the funds they lend.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Internal Rate of Return (IRR</w:t>
      </w:r>
      <w:proofErr w:type="gramStart"/>
      <w:r w:rsidRPr="002219CE">
        <w:rPr>
          <w:rFonts w:ascii="Verdana" w:eastAsia="Times New Roman" w:hAnsi="Verdana" w:cs="Times New Roman"/>
          <w:b/>
          <w:bCs/>
          <w:color w:val="655A41"/>
          <w:sz w:val="20"/>
        </w:rPr>
        <w:t>)</w:t>
      </w:r>
      <w:proofErr w:type="gramEnd"/>
      <w:r w:rsidRPr="002219CE">
        <w:rPr>
          <w:rFonts w:ascii="Verdana" w:eastAsia="Times New Roman" w:hAnsi="Verdana" w:cs="Times New Roman"/>
          <w:color w:val="655A41"/>
          <w:sz w:val="18"/>
          <w:szCs w:val="18"/>
        </w:rPr>
        <w:br/>
        <w:t xml:space="preserve">An iterated calculation to approximate the interest rate at which Net Present Value (NPV) equals zero.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Inventory Carrying Cost</w:t>
      </w:r>
      <w:r w:rsidRPr="002219CE">
        <w:rPr>
          <w:rFonts w:ascii="Verdana" w:eastAsia="Times New Roman" w:hAnsi="Verdana" w:cs="Times New Roman"/>
          <w:color w:val="655A41"/>
          <w:sz w:val="18"/>
          <w:szCs w:val="18"/>
        </w:rPr>
        <w:br/>
      </w:r>
      <w:proofErr w:type="gramStart"/>
      <w:r w:rsidRPr="002219CE">
        <w:rPr>
          <w:rFonts w:ascii="Verdana" w:eastAsia="Times New Roman" w:hAnsi="Verdana" w:cs="Times New Roman"/>
          <w:color w:val="655A41"/>
          <w:sz w:val="18"/>
          <w:szCs w:val="18"/>
        </w:rPr>
        <w:t>A</w:t>
      </w:r>
      <w:proofErr w:type="gramEnd"/>
      <w:r w:rsidRPr="002219CE">
        <w:rPr>
          <w:rFonts w:ascii="Verdana" w:eastAsia="Times New Roman" w:hAnsi="Verdana" w:cs="Times New Roman"/>
          <w:color w:val="655A41"/>
          <w:sz w:val="18"/>
          <w:szCs w:val="18"/>
        </w:rPr>
        <w:t xml:space="preserve"> per cent of inventory value representing the annual expense of moving, storing, and managing inventory. It includes the financial cost (interest) associated with the investment in inventory.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lastRenderedPageBreak/>
        <w:t>Inventory Turns</w:t>
      </w:r>
      <w:r w:rsidRPr="002219CE">
        <w:rPr>
          <w:rFonts w:ascii="Verdana" w:eastAsia="Times New Roman" w:hAnsi="Verdana" w:cs="Times New Roman"/>
          <w:color w:val="655A41"/>
          <w:sz w:val="18"/>
          <w:szCs w:val="18"/>
        </w:rPr>
        <w:br/>
        <w:t xml:space="preserve">Turns measure how fast inventory is used and replaced, computed as Total annual Cost of Goods Sold divided by Inventory. In general, higher turns are better, helping drive down invested capital.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Investments</w:t>
      </w:r>
      <w:r w:rsidRPr="002219CE">
        <w:rPr>
          <w:rFonts w:ascii="Verdana" w:eastAsia="Times New Roman" w:hAnsi="Verdana" w:cs="Times New Roman"/>
          <w:color w:val="655A41"/>
          <w:sz w:val="18"/>
          <w:szCs w:val="18"/>
        </w:rPr>
        <w:br/>
        <w:t xml:space="preserve">Funds output for any business purpose. Companies invest in assets and resources, and individual investors invest in companies. </w:t>
      </w:r>
    </w:p>
    <w:p w:rsidR="002219CE" w:rsidRPr="002219CE" w:rsidRDefault="002219CE" w:rsidP="002219CE">
      <w:pPr>
        <w:spacing w:after="165" w:line="240" w:lineRule="auto"/>
        <w:jc w:val="right"/>
        <w:rPr>
          <w:rFonts w:ascii="Verdana" w:eastAsia="Times New Roman" w:hAnsi="Verdana" w:cs="Times New Roman"/>
          <w:b/>
          <w:bCs/>
          <w:color w:val="506C50"/>
          <w:sz w:val="18"/>
          <w:szCs w:val="18"/>
        </w:rPr>
      </w:pPr>
    </w:p>
    <w:p w:rsidR="002219CE" w:rsidRPr="002219CE" w:rsidRDefault="002219CE" w:rsidP="002219CE">
      <w:pPr>
        <w:spacing w:after="0" w:line="240" w:lineRule="auto"/>
        <w:rPr>
          <w:rFonts w:ascii="Verdana" w:eastAsia="Times New Roman" w:hAnsi="Verdana" w:cs="Times New Roman"/>
          <w:color w:val="655A41"/>
          <w:sz w:val="18"/>
          <w:szCs w:val="18"/>
        </w:rPr>
      </w:pPr>
      <w:bookmarkStart w:id="8" w:name="J"/>
      <w:bookmarkEnd w:id="8"/>
      <w:r>
        <w:rPr>
          <w:rFonts w:ascii="Verdana" w:eastAsia="Times New Roman" w:hAnsi="Verdana" w:cs="Times New Roman"/>
          <w:noProof/>
          <w:color w:val="655A41"/>
          <w:sz w:val="18"/>
          <w:szCs w:val="18"/>
          <w:shd w:val="clear" w:color="auto" w:fill="F0EDEB"/>
        </w:rPr>
        <w:drawing>
          <wp:inline distT="0" distB="0" distL="0" distR="0">
            <wp:extent cx="4381500" cy="228600"/>
            <wp:effectExtent l="19050" t="0" r="0" b="0"/>
            <wp:docPr id="10" name="Picture 10" descr="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
                    <pic:cNvPicPr>
                      <a:picLocks noChangeAspect="1" noChangeArrowheads="1"/>
                    </pic:cNvPicPr>
                  </pic:nvPicPr>
                  <pic:blipFill>
                    <a:blip r:embed="rId16"/>
                    <a:srcRect/>
                    <a:stretch>
                      <a:fillRect/>
                    </a:stretch>
                  </pic:blipFill>
                  <pic:spPr bwMode="auto">
                    <a:xfrm>
                      <a:off x="0" y="0"/>
                      <a:ext cx="4381500" cy="228600"/>
                    </a:xfrm>
                    <a:prstGeom prst="rect">
                      <a:avLst/>
                    </a:prstGeom>
                    <a:noFill/>
                    <a:ln w="9525">
                      <a:noFill/>
                      <a:miter lim="800000"/>
                      <a:headEnd/>
                      <a:tailEnd/>
                    </a:ln>
                  </pic:spPr>
                </pic:pic>
              </a:graphicData>
            </a:graphic>
          </wp:inline>
        </w:drawing>
      </w:r>
    </w:p>
    <w:p w:rsidR="002219CE" w:rsidRPr="002219CE" w:rsidRDefault="002219CE" w:rsidP="002219CE">
      <w:pPr>
        <w:spacing w:before="105" w:after="165" w:line="240" w:lineRule="auto"/>
        <w:ind w:left="330" w:right="270"/>
        <w:rPr>
          <w:rFonts w:ascii="Verdana" w:eastAsia="Times New Roman" w:hAnsi="Verdana" w:cs="Times New Roman"/>
          <w:color w:val="655A41"/>
          <w:sz w:val="18"/>
          <w:szCs w:val="18"/>
        </w:rPr>
      </w:pPr>
      <w:r w:rsidRPr="002219CE">
        <w:rPr>
          <w:rFonts w:ascii="Verdana" w:eastAsia="Times New Roman" w:hAnsi="Verdana" w:cs="Times New Roman"/>
          <w:b/>
          <w:bCs/>
          <w:color w:val="655A41"/>
          <w:sz w:val="20"/>
        </w:rPr>
        <w:t>Just-In-Time (JIT</w:t>
      </w:r>
      <w:proofErr w:type="gramStart"/>
      <w:r w:rsidRPr="002219CE">
        <w:rPr>
          <w:rFonts w:ascii="Verdana" w:eastAsia="Times New Roman" w:hAnsi="Verdana" w:cs="Times New Roman"/>
          <w:b/>
          <w:bCs/>
          <w:color w:val="655A41"/>
          <w:sz w:val="20"/>
        </w:rPr>
        <w:t>)</w:t>
      </w:r>
      <w:proofErr w:type="gramEnd"/>
      <w:r w:rsidRPr="002219CE">
        <w:rPr>
          <w:rFonts w:ascii="Verdana" w:eastAsia="Times New Roman" w:hAnsi="Verdana" w:cs="Times New Roman"/>
          <w:color w:val="655A41"/>
          <w:sz w:val="18"/>
          <w:szCs w:val="18"/>
        </w:rPr>
        <w:br/>
        <w:t xml:space="preserve">Inventory replenishment intended to bring exactly the right parts to an assembly process exactly when needed, minimizing inventory requirements and simplifying its flow. In practice, this approach risks line shut downs if information and all delivery systems aren't near-perfect. </w:t>
      </w:r>
    </w:p>
    <w:p w:rsidR="002219CE" w:rsidRPr="002219CE" w:rsidRDefault="002219CE" w:rsidP="002219CE">
      <w:pPr>
        <w:spacing w:after="165" w:line="240" w:lineRule="auto"/>
        <w:jc w:val="right"/>
        <w:rPr>
          <w:rFonts w:ascii="Verdana" w:eastAsia="Times New Roman" w:hAnsi="Verdana" w:cs="Times New Roman"/>
          <w:b/>
          <w:bCs/>
          <w:color w:val="506C50"/>
          <w:sz w:val="18"/>
          <w:szCs w:val="18"/>
        </w:rPr>
      </w:pPr>
    </w:p>
    <w:p w:rsidR="002219CE" w:rsidRPr="002219CE" w:rsidRDefault="002219CE" w:rsidP="002219CE">
      <w:pPr>
        <w:spacing w:after="0" w:line="240" w:lineRule="auto"/>
        <w:rPr>
          <w:rFonts w:ascii="Verdana" w:eastAsia="Times New Roman" w:hAnsi="Verdana" w:cs="Times New Roman"/>
          <w:color w:val="655A41"/>
          <w:sz w:val="18"/>
          <w:szCs w:val="18"/>
        </w:rPr>
      </w:pPr>
      <w:bookmarkStart w:id="9" w:name="K"/>
      <w:bookmarkEnd w:id="9"/>
      <w:r>
        <w:rPr>
          <w:rFonts w:ascii="Verdana" w:eastAsia="Times New Roman" w:hAnsi="Verdana" w:cs="Times New Roman"/>
          <w:noProof/>
          <w:color w:val="655A41"/>
          <w:sz w:val="18"/>
          <w:szCs w:val="18"/>
          <w:shd w:val="clear" w:color="auto" w:fill="F0EDEB"/>
        </w:rPr>
        <w:drawing>
          <wp:inline distT="0" distB="0" distL="0" distR="0">
            <wp:extent cx="4381500" cy="228600"/>
            <wp:effectExtent l="19050" t="0" r="0" b="0"/>
            <wp:docPr id="11" name="Picture 11" desc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
                    <pic:cNvPicPr>
                      <a:picLocks noChangeAspect="1" noChangeArrowheads="1"/>
                    </pic:cNvPicPr>
                  </pic:nvPicPr>
                  <pic:blipFill>
                    <a:blip r:embed="rId17"/>
                    <a:srcRect/>
                    <a:stretch>
                      <a:fillRect/>
                    </a:stretch>
                  </pic:blipFill>
                  <pic:spPr bwMode="auto">
                    <a:xfrm>
                      <a:off x="0" y="0"/>
                      <a:ext cx="4381500" cy="228600"/>
                    </a:xfrm>
                    <a:prstGeom prst="rect">
                      <a:avLst/>
                    </a:prstGeom>
                    <a:noFill/>
                    <a:ln w="9525">
                      <a:noFill/>
                      <a:miter lim="800000"/>
                      <a:headEnd/>
                      <a:tailEnd/>
                    </a:ln>
                  </pic:spPr>
                </pic:pic>
              </a:graphicData>
            </a:graphic>
          </wp:inline>
        </w:drawing>
      </w:r>
    </w:p>
    <w:p w:rsidR="002219CE" w:rsidRPr="002219CE" w:rsidRDefault="002219CE" w:rsidP="002219CE">
      <w:pPr>
        <w:spacing w:before="105" w:after="165" w:line="240" w:lineRule="auto"/>
        <w:ind w:left="330" w:right="270"/>
        <w:rPr>
          <w:rFonts w:ascii="Verdana" w:eastAsia="Times New Roman" w:hAnsi="Verdana" w:cs="Times New Roman"/>
          <w:color w:val="655A41"/>
          <w:sz w:val="18"/>
          <w:szCs w:val="18"/>
        </w:rPr>
      </w:pPr>
      <w:proofErr w:type="spellStart"/>
      <w:r w:rsidRPr="002219CE">
        <w:rPr>
          <w:rFonts w:ascii="Verdana" w:eastAsia="Times New Roman" w:hAnsi="Verdana" w:cs="Times New Roman"/>
          <w:b/>
          <w:bCs/>
          <w:color w:val="655A41"/>
          <w:sz w:val="20"/>
        </w:rPr>
        <w:t>Kanban</w:t>
      </w:r>
      <w:proofErr w:type="spellEnd"/>
      <w:r w:rsidRPr="002219CE">
        <w:rPr>
          <w:rFonts w:ascii="Verdana" w:eastAsia="Times New Roman" w:hAnsi="Verdana" w:cs="Times New Roman"/>
          <w:color w:val="655A41"/>
          <w:sz w:val="18"/>
          <w:szCs w:val="18"/>
        </w:rPr>
        <w:br/>
        <w:t xml:space="preserve">A high-low inventory measure used to keep the right amount of the right inventory in front of each production process step.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Key Ratios</w:t>
      </w:r>
      <w:r w:rsidRPr="002219CE">
        <w:rPr>
          <w:rFonts w:ascii="Verdana" w:eastAsia="Times New Roman" w:hAnsi="Verdana" w:cs="Times New Roman"/>
          <w:color w:val="655A41"/>
          <w:sz w:val="18"/>
          <w:szCs w:val="18"/>
        </w:rPr>
        <w:br/>
        <w:t xml:space="preserve">Various ratios are computed and widely used to evaluate financial strengths and weaknesses, and trends, of a company. </w:t>
      </w:r>
    </w:p>
    <w:p w:rsidR="002219CE" w:rsidRPr="002219CE" w:rsidRDefault="002219CE" w:rsidP="002219CE">
      <w:pPr>
        <w:spacing w:after="0" w:line="240" w:lineRule="auto"/>
        <w:rPr>
          <w:rFonts w:ascii="Verdana" w:eastAsia="Times New Roman" w:hAnsi="Verdana" w:cs="Times New Roman"/>
          <w:color w:val="655A41"/>
          <w:sz w:val="18"/>
          <w:szCs w:val="18"/>
        </w:rPr>
      </w:pPr>
      <w:bookmarkStart w:id="10" w:name="L"/>
      <w:bookmarkEnd w:id="10"/>
      <w:r>
        <w:rPr>
          <w:rFonts w:ascii="Verdana" w:eastAsia="Times New Roman" w:hAnsi="Verdana" w:cs="Times New Roman"/>
          <w:noProof/>
          <w:color w:val="655A41"/>
          <w:sz w:val="18"/>
          <w:szCs w:val="18"/>
          <w:shd w:val="clear" w:color="auto" w:fill="F0EDEB"/>
        </w:rPr>
        <w:drawing>
          <wp:inline distT="0" distB="0" distL="0" distR="0">
            <wp:extent cx="4381500" cy="228600"/>
            <wp:effectExtent l="19050" t="0" r="0" b="0"/>
            <wp:docPr id="12" name="Picture 12" desc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
                    <pic:cNvPicPr>
                      <a:picLocks noChangeAspect="1" noChangeArrowheads="1"/>
                    </pic:cNvPicPr>
                  </pic:nvPicPr>
                  <pic:blipFill>
                    <a:blip r:embed="rId18"/>
                    <a:srcRect/>
                    <a:stretch>
                      <a:fillRect/>
                    </a:stretch>
                  </pic:blipFill>
                  <pic:spPr bwMode="auto">
                    <a:xfrm>
                      <a:off x="0" y="0"/>
                      <a:ext cx="4381500" cy="228600"/>
                    </a:xfrm>
                    <a:prstGeom prst="rect">
                      <a:avLst/>
                    </a:prstGeom>
                    <a:noFill/>
                    <a:ln w="9525">
                      <a:noFill/>
                      <a:miter lim="800000"/>
                      <a:headEnd/>
                      <a:tailEnd/>
                    </a:ln>
                  </pic:spPr>
                </pic:pic>
              </a:graphicData>
            </a:graphic>
          </wp:inline>
        </w:drawing>
      </w:r>
    </w:p>
    <w:p w:rsidR="002219CE" w:rsidRPr="002219CE" w:rsidRDefault="002219CE" w:rsidP="002219CE">
      <w:pPr>
        <w:spacing w:before="105" w:after="165" w:line="240" w:lineRule="auto"/>
        <w:ind w:left="330" w:right="270"/>
        <w:rPr>
          <w:rFonts w:ascii="Verdana" w:eastAsia="Times New Roman" w:hAnsi="Verdana" w:cs="Times New Roman"/>
          <w:color w:val="655A41"/>
          <w:sz w:val="18"/>
          <w:szCs w:val="18"/>
        </w:rPr>
      </w:pPr>
      <w:r w:rsidRPr="002219CE">
        <w:rPr>
          <w:rFonts w:ascii="Verdana" w:eastAsia="Times New Roman" w:hAnsi="Verdana" w:cs="Times New Roman"/>
          <w:b/>
          <w:bCs/>
          <w:color w:val="655A41"/>
          <w:sz w:val="20"/>
        </w:rPr>
        <w:t>Lean Accounting</w:t>
      </w:r>
      <w:r w:rsidRPr="002219CE">
        <w:rPr>
          <w:rFonts w:ascii="Verdana" w:eastAsia="Times New Roman" w:hAnsi="Verdana" w:cs="Times New Roman"/>
          <w:color w:val="655A41"/>
          <w:sz w:val="18"/>
          <w:szCs w:val="18"/>
        </w:rPr>
        <w:br/>
        <w:t xml:space="preserve">Accounting philosophy and practices that support the principles and techniques of lean operations, such as pull manufacturing, elimination of waste, inventory </w:t>
      </w:r>
      <w:proofErr w:type="spellStart"/>
      <w:r w:rsidRPr="002219CE">
        <w:rPr>
          <w:rFonts w:ascii="Verdana" w:eastAsia="Times New Roman" w:hAnsi="Verdana" w:cs="Times New Roman"/>
          <w:color w:val="655A41"/>
          <w:sz w:val="18"/>
          <w:szCs w:val="18"/>
        </w:rPr>
        <w:t>kanbans</w:t>
      </w:r>
      <w:proofErr w:type="spellEnd"/>
      <w:r w:rsidRPr="002219CE">
        <w:rPr>
          <w:rFonts w:ascii="Verdana" w:eastAsia="Times New Roman" w:hAnsi="Verdana" w:cs="Times New Roman"/>
          <w:color w:val="655A41"/>
          <w:sz w:val="18"/>
          <w:szCs w:val="18"/>
        </w:rPr>
        <w:t xml:space="preserve">, and visual workplace.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proofErr w:type="gramStart"/>
      <w:r w:rsidRPr="002219CE">
        <w:rPr>
          <w:rFonts w:ascii="Verdana" w:eastAsia="Times New Roman" w:hAnsi="Verdana" w:cs="Times New Roman"/>
          <w:b/>
          <w:bCs/>
          <w:color w:val="655A41"/>
          <w:sz w:val="20"/>
        </w:rPr>
        <w:t>Life Cycle</w:t>
      </w:r>
      <w:r w:rsidRPr="002219CE">
        <w:rPr>
          <w:rFonts w:ascii="Verdana" w:eastAsia="Times New Roman" w:hAnsi="Verdana" w:cs="Times New Roman"/>
          <w:color w:val="655A41"/>
          <w:sz w:val="18"/>
          <w:szCs w:val="18"/>
        </w:rPr>
        <w:br/>
        <w:t>Product life from development, through sales growth and decline, to eventual exit and disposal.</w:t>
      </w:r>
      <w:proofErr w:type="gramEnd"/>
      <w:r w:rsidRPr="002219CE">
        <w:rPr>
          <w:rFonts w:ascii="Verdana" w:eastAsia="Times New Roman" w:hAnsi="Verdana" w:cs="Times New Roman"/>
          <w:color w:val="655A41"/>
          <w:sz w:val="18"/>
          <w:szCs w:val="18"/>
        </w:rPr>
        <w:t xml:space="preserve">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Low-hanging Fruit</w:t>
      </w:r>
      <w:r w:rsidRPr="002219CE">
        <w:rPr>
          <w:rFonts w:ascii="Verdana" w:eastAsia="Times New Roman" w:hAnsi="Verdana" w:cs="Times New Roman"/>
          <w:color w:val="655A41"/>
          <w:sz w:val="18"/>
          <w:szCs w:val="18"/>
        </w:rPr>
        <w:br/>
        <w:t xml:space="preserve">Business improvement project Benefits [See above] that are easy to obtain quickly. </w:t>
      </w:r>
    </w:p>
    <w:p w:rsidR="002219CE" w:rsidRPr="002219CE" w:rsidRDefault="002219CE" w:rsidP="002219CE">
      <w:pPr>
        <w:spacing w:after="0" w:line="240" w:lineRule="auto"/>
        <w:rPr>
          <w:rFonts w:ascii="Verdana" w:eastAsia="Times New Roman" w:hAnsi="Verdana" w:cs="Times New Roman"/>
          <w:color w:val="655A41"/>
          <w:sz w:val="18"/>
          <w:szCs w:val="18"/>
        </w:rPr>
      </w:pPr>
      <w:bookmarkStart w:id="11" w:name="M"/>
      <w:bookmarkEnd w:id="11"/>
      <w:r>
        <w:rPr>
          <w:rFonts w:ascii="Verdana" w:eastAsia="Times New Roman" w:hAnsi="Verdana" w:cs="Times New Roman"/>
          <w:noProof/>
          <w:color w:val="655A41"/>
          <w:sz w:val="18"/>
          <w:szCs w:val="18"/>
          <w:shd w:val="clear" w:color="auto" w:fill="F0EDEB"/>
        </w:rPr>
        <w:drawing>
          <wp:inline distT="0" distB="0" distL="0" distR="0">
            <wp:extent cx="4381500" cy="228600"/>
            <wp:effectExtent l="19050" t="0" r="0" b="0"/>
            <wp:docPr id="13" name="Picture 13" desc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
                    <pic:cNvPicPr>
                      <a:picLocks noChangeAspect="1" noChangeArrowheads="1"/>
                    </pic:cNvPicPr>
                  </pic:nvPicPr>
                  <pic:blipFill>
                    <a:blip r:embed="rId19"/>
                    <a:srcRect/>
                    <a:stretch>
                      <a:fillRect/>
                    </a:stretch>
                  </pic:blipFill>
                  <pic:spPr bwMode="auto">
                    <a:xfrm>
                      <a:off x="0" y="0"/>
                      <a:ext cx="4381500" cy="228600"/>
                    </a:xfrm>
                    <a:prstGeom prst="rect">
                      <a:avLst/>
                    </a:prstGeom>
                    <a:noFill/>
                    <a:ln w="9525">
                      <a:noFill/>
                      <a:miter lim="800000"/>
                      <a:headEnd/>
                      <a:tailEnd/>
                    </a:ln>
                  </pic:spPr>
                </pic:pic>
              </a:graphicData>
            </a:graphic>
          </wp:inline>
        </w:drawing>
      </w:r>
    </w:p>
    <w:p w:rsidR="002219CE" w:rsidRPr="002219CE" w:rsidRDefault="002219CE" w:rsidP="002219CE">
      <w:pPr>
        <w:spacing w:before="105" w:after="165" w:line="240" w:lineRule="auto"/>
        <w:ind w:left="330" w:right="270"/>
        <w:rPr>
          <w:rFonts w:ascii="Verdana" w:eastAsia="Times New Roman" w:hAnsi="Verdana" w:cs="Times New Roman"/>
          <w:color w:val="655A41"/>
          <w:sz w:val="18"/>
          <w:szCs w:val="18"/>
        </w:rPr>
      </w:pPr>
      <w:r w:rsidRPr="002219CE">
        <w:rPr>
          <w:rFonts w:ascii="Verdana" w:eastAsia="Times New Roman" w:hAnsi="Verdana" w:cs="Times New Roman"/>
          <w:b/>
          <w:bCs/>
          <w:color w:val="655A41"/>
          <w:sz w:val="20"/>
        </w:rPr>
        <w:t>Market Leverage</w:t>
      </w:r>
      <w:r w:rsidRPr="002219CE">
        <w:rPr>
          <w:rFonts w:ascii="Verdana" w:eastAsia="Times New Roman" w:hAnsi="Verdana" w:cs="Times New Roman"/>
          <w:color w:val="655A41"/>
          <w:sz w:val="18"/>
          <w:szCs w:val="18"/>
        </w:rPr>
        <w:br/>
        <w:t xml:space="preserve">Market Leverage refers to the ratio of stock value to profit (Market Value divided by Profit </w:t>
      </w:r>
      <w:proofErr w:type="gramStart"/>
      <w:r w:rsidRPr="002219CE">
        <w:rPr>
          <w:rFonts w:ascii="Verdana" w:eastAsia="Times New Roman" w:hAnsi="Verdana" w:cs="Times New Roman"/>
          <w:color w:val="655A41"/>
          <w:sz w:val="18"/>
          <w:szCs w:val="18"/>
        </w:rPr>
        <w:t>After</w:t>
      </w:r>
      <w:proofErr w:type="gramEnd"/>
      <w:r w:rsidRPr="002219CE">
        <w:rPr>
          <w:rFonts w:ascii="Verdana" w:eastAsia="Times New Roman" w:hAnsi="Verdana" w:cs="Times New Roman"/>
          <w:color w:val="655A41"/>
          <w:sz w:val="18"/>
          <w:szCs w:val="18"/>
        </w:rPr>
        <w:t xml:space="preserve"> Tax). It depends on capital markets, and is highly uncertain even for experienced investors.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Mergers and Acquisitions</w:t>
      </w:r>
      <w:r w:rsidRPr="002219CE">
        <w:rPr>
          <w:rFonts w:ascii="Verdana" w:eastAsia="Times New Roman" w:hAnsi="Verdana" w:cs="Times New Roman"/>
          <w:color w:val="655A41"/>
          <w:sz w:val="18"/>
          <w:szCs w:val="18"/>
        </w:rPr>
        <w:br/>
        <w:t xml:space="preserve">Mergers and Acquisitions (M&amp;A) are business combinations involving purchases or stock swaps.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hyperlink r:id="rId20" w:history="1">
        <w:r w:rsidRPr="002219CE">
          <w:rPr>
            <w:rFonts w:ascii="Verdana" w:eastAsia="Times New Roman" w:hAnsi="Verdana" w:cs="Times New Roman"/>
            <w:b/>
            <w:bCs/>
            <w:color w:val="506C50"/>
            <w:sz w:val="20"/>
            <w:u w:val="single"/>
          </w:rPr>
          <w:t>Model</w:t>
        </w:r>
      </w:hyperlink>
      <w:r w:rsidRPr="002219CE">
        <w:rPr>
          <w:rFonts w:ascii="Verdana" w:eastAsia="Times New Roman" w:hAnsi="Verdana" w:cs="Times New Roman"/>
          <w:color w:val="655A41"/>
          <w:sz w:val="18"/>
          <w:szCs w:val="18"/>
        </w:rPr>
        <w:br/>
      </w:r>
      <w:proofErr w:type="gramStart"/>
      <w:r w:rsidRPr="002219CE">
        <w:rPr>
          <w:rFonts w:ascii="Verdana" w:eastAsia="Times New Roman" w:hAnsi="Verdana" w:cs="Times New Roman"/>
          <w:color w:val="655A41"/>
          <w:sz w:val="18"/>
          <w:szCs w:val="18"/>
        </w:rPr>
        <w:t>Any</w:t>
      </w:r>
      <w:proofErr w:type="gramEnd"/>
      <w:r w:rsidRPr="002219CE">
        <w:rPr>
          <w:rFonts w:ascii="Verdana" w:eastAsia="Times New Roman" w:hAnsi="Verdana" w:cs="Times New Roman"/>
          <w:color w:val="655A41"/>
          <w:sz w:val="18"/>
          <w:szCs w:val="18"/>
        </w:rPr>
        <w:t xml:space="preserve"> financial tool used to analyze a type of transaction or a series of transactions. </w:t>
      </w:r>
    </w:p>
    <w:p w:rsidR="002219CE" w:rsidRPr="002219CE" w:rsidRDefault="002219CE" w:rsidP="002219CE">
      <w:pPr>
        <w:spacing w:after="165" w:line="240" w:lineRule="auto"/>
        <w:jc w:val="right"/>
        <w:rPr>
          <w:rFonts w:ascii="Verdana" w:eastAsia="Times New Roman" w:hAnsi="Verdana" w:cs="Times New Roman"/>
          <w:b/>
          <w:bCs/>
          <w:color w:val="506C50"/>
          <w:sz w:val="18"/>
          <w:szCs w:val="18"/>
        </w:rPr>
      </w:pPr>
    </w:p>
    <w:p w:rsidR="002219CE" w:rsidRPr="002219CE" w:rsidRDefault="002219CE" w:rsidP="002219CE">
      <w:pPr>
        <w:spacing w:after="0" w:line="240" w:lineRule="auto"/>
        <w:rPr>
          <w:rFonts w:ascii="Verdana" w:eastAsia="Times New Roman" w:hAnsi="Verdana" w:cs="Times New Roman"/>
          <w:color w:val="655A41"/>
          <w:sz w:val="18"/>
          <w:szCs w:val="18"/>
        </w:rPr>
      </w:pPr>
      <w:bookmarkStart w:id="12" w:name="N"/>
      <w:bookmarkEnd w:id="12"/>
      <w:r>
        <w:rPr>
          <w:rFonts w:ascii="Verdana" w:eastAsia="Times New Roman" w:hAnsi="Verdana" w:cs="Times New Roman"/>
          <w:noProof/>
          <w:color w:val="655A41"/>
          <w:sz w:val="18"/>
          <w:szCs w:val="18"/>
          <w:shd w:val="clear" w:color="auto" w:fill="F0EDEB"/>
        </w:rPr>
        <w:drawing>
          <wp:inline distT="0" distB="0" distL="0" distR="0">
            <wp:extent cx="4381500" cy="228600"/>
            <wp:effectExtent l="19050" t="0" r="0" b="0"/>
            <wp:docPr id="14" name="Picture 14" desc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
                    <pic:cNvPicPr>
                      <a:picLocks noChangeAspect="1" noChangeArrowheads="1"/>
                    </pic:cNvPicPr>
                  </pic:nvPicPr>
                  <pic:blipFill>
                    <a:blip r:embed="rId21"/>
                    <a:srcRect/>
                    <a:stretch>
                      <a:fillRect/>
                    </a:stretch>
                  </pic:blipFill>
                  <pic:spPr bwMode="auto">
                    <a:xfrm>
                      <a:off x="0" y="0"/>
                      <a:ext cx="4381500" cy="228600"/>
                    </a:xfrm>
                    <a:prstGeom prst="rect">
                      <a:avLst/>
                    </a:prstGeom>
                    <a:noFill/>
                    <a:ln w="9525">
                      <a:noFill/>
                      <a:miter lim="800000"/>
                      <a:headEnd/>
                      <a:tailEnd/>
                    </a:ln>
                  </pic:spPr>
                </pic:pic>
              </a:graphicData>
            </a:graphic>
          </wp:inline>
        </w:drawing>
      </w:r>
    </w:p>
    <w:p w:rsidR="002219CE" w:rsidRPr="002219CE" w:rsidRDefault="002219CE" w:rsidP="002219CE">
      <w:pPr>
        <w:spacing w:before="105" w:after="165" w:line="240" w:lineRule="auto"/>
        <w:ind w:left="330" w:right="270"/>
        <w:rPr>
          <w:rFonts w:ascii="Verdana" w:eastAsia="Times New Roman" w:hAnsi="Verdana" w:cs="Times New Roman"/>
          <w:color w:val="655A41"/>
          <w:sz w:val="18"/>
          <w:szCs w:val="18"/>
        </w:rPr>
      </w:pPr>
      <w:r w:rsidRPr="002219CE">
        <w:rPr>
          <w:rFonts w:ascii="Verdana" w:eastAsia="Times New Roman" w:hAnsi="Verdana" w:cs="Times New Roman"/>
          <w:b/>
          <w:bCs/>
          <w:color w:val="655A41"/>
          <w:sz w:val="20"/>
        </w:rPr>
        <w:lastRenderedPageBreak/>
        <w:t>Net Present Value (NPV</w:t>
      </w:r>
      <w:proofErr w:type="gramStart"/>
      <w:r w:rsidRPr="002219CE">
        <w:rPr>
          <w:rFonts w:ascii="Verdana" w:eastAsia="Times New Roman" w:hAnsi="Verdana" w:cs="Times New Roman"/>
          <w:b/>
          <w:bCs/>
          <w:color w:val="655A41"/>
          <w:sz w:val="20"/>
        </w:rPr>
        <w:t>)</w:t>
      </w:r>
      <w:proofErr w:type="gramEnd"/>
      <w:r w:rsidRPr="002219CE">
        <w:rPr>
          <w:rFonts w:ascii="Verdana" w:eastAsia="Times New Roman" w:hAnsi="Verdana" w:cs="Times New Roman"/>
          <w:color w:val="655A41"/>
          <w:sz w:val="18"/>
          <w:szCs w:val="18"/>
        </w:rPr>
        <w:br/>
        <w:t xml:space="preserve">The value of a stream of cash over time, discounted to a selected "hurdle" rate of interest. </w:t>
      </w:r>
    </w:p>
    <w:p w:rsidR="002219CE" w:rsidRPr="002219CE" w:rsidRDefault="002219CE" w:rsidP="002219CE">
      <w:pPr>
        <w:spacing w:after="0" w:line="240" w:lineRule="auto"/>
        <w:rPr>
          <w:rFonts w:ascii="Verdana" w:eastAsia="Times New Roman" w:hAnsi="Verdana" w:cs="Times New Roman"/>
          <w:color w:val="655A41"/>
          <w:sz w:val="18"/>
          <w:szCs w:val="18"/>
        </w:rPr>
      </w:pPr>
      <w:bookmarkStart w:id="13" w:name="O"/>
      <w:bookmarkEnd w:id="13"/>
      <w:r>
        <w:rPr>
          <w:rFonts w:ascii="Verdana" w:eastAsia="Times New Roman" w:hAnsi="Verdana" w:cs="Times New Roman"/>
          <w:noProof/>
          <w:color w:val="655A41"/>
          <w:sz w:val="18"/>
          <w:szCs w:val="18"/>
          <w:shd w:val="clear" w:color="auto" w:fill="F0EDEB"/>
        </w:rPr>
        <w:drawing>
          <wp:inline distT="0" distB="0" distL="0" distR="0">
            <wp:extent cx="4381500" cy="228600"/>
            <wp:effectExtent l="19050" t="0" r="0" b="0"/>
            <wp:docPr id="15" name="Picture 15" desc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O"/>
                    <pic:cNvPicPr>
                      <a:picLocks noChangeAspect="1" noChangeArrowheads="1"/>
                    </pic:cNvPicPr>
                  </pic:nvPicPr>
                  <pic:blipFill>
                    <a:blip r:embed="rId22"/>
                    <a:srcRect/>
                    <a:stretch>
                      <a:fillRect/>
                    </a:stretch>
                  </pic:blipFill>
                  <pic:spPr bwMode="auto">
                    <a:xfrm>
                      <a:off x="0" y="0"/>
                      <a:ext cx="4381500" cy="228600"/>
                    </a:xfrm>
                    <a:prstGeom prst="rect">
                      <a:avLst/>
                    </a:prstGeom>
                    <a:noFill/>
                    <a:ln w="9525">
                      <a:noFill/>
                      <a:miter lim="800000"/>
                      <a:headEnd/>
                      <a:tailEnd/>
                    </a:ln>
                  </pic:spPr>
                </pic:pic>
              </a:graphicData>
            </a:graphic>
          </wp:inline>
        </w:drawing>
      </w:r>
    </w:p>
    <w:p w:rsidR="002219CE" w:rsidRPr="002219CE" w:rsidRDefault="002219CE" w:rsidP="002219CE">
      <w:pPr>
        <w:spacing w:before="105" w:after="165" w:line="240" w:lineRule="auto"/>
        <w:ind w:left="330" w:right="270"/>
        <w:rPr>
          <w:rFonts w:ascii="Verdana" w:eastAsia="Times New Roman" w:hAnsi="Verdana" w:cs="Times New Roman"/>
          <w:color w:val="655A41"/>
          <w:sz w:val="18"/>
          <w:szCs w:val="18"/>
        </w:rPr>
      </w:pPr>
      <w:r w:rsidRPr="002219CE">
        <w:rPr>
          <w:rFonts w:ascii="Verdana" w:eastAsia="Times New Roman" w:hAnsi="Verdana" w:cs="Times New Roman"/>
          <w:b/>
          <w:bCs/>
          <w:color w:val="655A41"/>
          <w:sz w:val="20"/>
        </w:rPr>
        <w:t>Operating Leverage</w:t>
      </w:r>
      <w:r w:rsidRPr="002219CE">
        <w:rPr>
          <w:rFonts w:ascii="Verdana" w:eastAsia="Times New Roman" w:hAnsi="Verdana" w:cs="Times New Roman"/>
          <w:color w:val="655A41"/>
          <w:sz w:val="18"/>
          <w:szCs w:val="18"/>
        </w:rPr>
        <w:br/>
        <w:t xml:space="preserve">Operating Leverage refers to the ability to gain profit from revenue (calculated as Profit after Tax divided by Revenue).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hyperlink r:id="rId23" w:history="1">
        <w:r w:rsidRPr="002219CE">
          <w:rPr>
            <w:rFonts w:ascii="Verdana" w:eastAsia="Times New Roman" w:hAnsi="Verdana" w:cs="Times New Roman"/>
            <w:b/>
            <w:bCs/>
            <w:color w:val="506C50"/>
            <w:sz w:val="20"/>
            <w:u w:val="single"/>
          </w:rPr>
          <w:t xml:space="preserve">Outsource / </w:t>
        </w:r>
        <w:proofErr w:type="spellStart"/>
        <w:r w:rsidRPr="002219CE">
          <w:rPr>
            <w:rFonts w:ascii="Verdana" w:eastAsia="Times New Roman" w:hAnsi="Verdana" w:cs="Times New Roman"/>
            <w:b/>
            <w:bCs/>
            <w:color w:val="506C50"/>
            <w:sz w:val="20"/>
            <w:u w:val="single"/>
          </w:rPr>
          <w:t>Insource</w:t>
        </w:r>
        <w:proofErr w:type="spellEnd"/>
      </w:hyperlink>
      <w:r w:rsidRPr="002219CE">
        <w:rPr>
          <w:rFonts w:ascii="Verdana" w:eastAsia="Times New Roman" w:hAnsi="Verdana" w:cs="Times New Roman"/>
          <w:color w:val="655A41"/>
          <w:sz w:val="18"/>
          <w:szCs w:val="18"/>
        </w:rPr>
        <w:br/>
        <w:t xml:space="preserve">Contract with an outside source to purchase goods or services previously produced in-house / </w:t>
      </w:r>
      <w:proofErr w:type="gramStart"/>
      <w:r w:rsidRPr="002219CE">
        <w:rPr>
          <w:rFonts w:ascii="Verdana" w:eastAsia="Times New Roman" w:hAnsi="Verdana" w:cs="Times New Roman"/>
          <w:color w:val="655A41"/>
          <w:sz w:val="18"/>
          <w:szCs w:val="18"/>
        </w:rPr>
        <w:t>produce</w:t>
      </w:r>
      <w:proofErr w:type="gramEnd"/>
      <w:r w:rsidRPr="002219CE">
        <w:rPr>
          <w:rFonts w:ascii="Verdana" w:eastAsia="Times New Roman" w:hAnsi="Verdana" w:cs="Times New Roman"/>
          <w:color w:val="655A41"/>
          <w:sz w:val="18"/>
          <w:szCs w:val="18"/>
        </w:rPr>
        <w:t xml:space="preserve"> in-house goods or services that were previously purchased outside. </w:t>
      </w:r>
    </w:p>
    <w:p w:rsidR="002219CE" w:rsidRPr="002219CE" w:rsidRDefault="002219CE" w:rsidP="002219CE">
      <w:pPr>
        <w:spacing w:after="165" w:line="240" w:lineRule="auto"/>
        <w:jc w:val="right"/>
        <w:rPr>
          <w:rFonts w:ascii="Verdana" w:eastAsia="Times New Roman" w:hAnsi="Verdana" w:cs="Times New Roman"/>
          <w:b/>
          <w:bCs/>
          <w:color w:val="506C50"/>
          <w:sz w:val="18"/>
          <w:szCs w:val="18"/>
        </w:rPr>
      </w:pPr>
    </w:p>
    <w:p w:rsidR="002219CE" w:rsidRPr="002219CE" w:rsidRDefault="002219CE" w:rsidP="002219CE">
      <w:pPr>
        <w:spacing w:after="0" w:line="240" w:lineRule="auto"/>
        <w:rPr>
          <w:rFonts w:ascii="Verdana" w:eastAsia="Times New Roman" w:hAnsi="Verdana" w:cs="Times New Roman"/>
          <w:color w:val="655A41"/>
          <w:sz w:val="18"/>
          <w:szCs w:val="18"/>
        </w:rPr>
      </w:pPr>
      <w:bookmarkStart w:id="14" w:name="P"/>
      <w:bookmarkEnd w:id="14"/>
      <w:r>
        <w:rPr>
          <w:rFonts w:ascii="Verdana" w:eastAsia="Times New Roman" w:hAnsi="Verdana" w:cs="Times New Roman"/>
          <w:noProof/>
          <w:color w:val="655A41"/>
          <w:sz w:val="18"/>
          <w:szCs w:val="18"/>
          <w:shd w:val="clear" w:color="auto" w:fill="F0EDEB"/>
        </w:rPr>
        <w:drawing>
          <wp:inline distT="0" distB="0" distL="0" distR="0">
            <wp:extent cx="4381500" cy="228600"/>
            <wp:effectExtent l="19050" t="0" r="0" b="0"/>
            <wp:docPr id="16" name="Picture 1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
                    <pic:cNvPicPr>
                      <a:picLocks noChangeAspect="1" noChangeArrowheads="1"/>
                    </pic:cNvPicPr>
                  </pic:nvPicPr>
                  <pic:blipFill>
                    <a:blip r:embed="rId24"/>
                    <a:srcRect/>
                    <a:stretch>
                      <a:fillRect/>
                    </a:stretch>
                  </pic:blipFill>
                  <pic:spPr bwMode="auto">
                    <a:xfrm>
                      <a:off x="0" y="0"/>
                      <a:ext cx="4381500" cy="228600"/>
                    </a:xfrm>
                    <a:prstGeom prst="rect">
                      <a:avLst/>
                    </a:prstGeom>
                    <a:noFill/>
                    <a:ln w="9525">
                      <a:noFill/>
                      <a:miter lim="800000"/>
                      <a:headEnd/>
                      <a:tailEnd/>
                    </a:ln>
                  </pic:spPr>
                </pic:pic>
              </a:graphicData>
            </a:graphic>
          </wp:inline>
        </w:drawing>
      </w:r>
    </w:p>
    <w:p w:rsidR="002219CE" w:rsidRPr="002219CE" w:rsidRDefault="002219CE" w:rsidP="002219CE">
      <w:pPr>
        <w:spacing w:before="105" w:after="165" w:line="240" w:lineRule="auto"/>
        <w:ind w:left="330" w:right="270"/>
        <w:rPr>
          <w:rFonts w:ascii="Verdana" w:eastAsia="Times New Roman" w:hAnsi="Verdana" w:cs="Times New Roman"/>
          <w:color w:val="655A41"/>
          <w:sz w:val="18"/>
          <w:szCs w:val="18"/>
        </w:rPr>
      </w:pPr>
      <w:r w:rsidRPr="002219CE">
        <w:rPr>
          <w:rFonts w:ascii="Verdana" w:eastAsia="Times New Roman" w:hAnsi="Verdana" w:cs="Times New Roman"/>
          <w:b/>
          <w:bCs/>
          <w:color w:val="655A41"/>
          <w:sz w:val="20"/>
        </w:rPr>
        <w:t>Patent</w:t>
      </w:r>
      <w:r w:rsidRPr="002219CE">
        <w:rPr>
          <w:rFonts w:ascii="Verdana" w:eastAsia="Times New Roman" w:hAnsi="Verdana" w:cs="Times New Roman"/>
          <w:color w:val="655A41"/>
          <w:sz w:val="18"/>
          <w:szCs w:val="18"/>
        </w:rPr>
        <w:br/>
      </w:r>
      <w:proofErr w:type="gramStart"/>
      <w:r w:rsidRPr="002219CE">
        <w:rPr>
          <w:rFonts w:ascii="Verdana" w:eastAsia="Times New Roman" w:hAnsi="Verdana" w:cs="Times New Roman"/>
          <w:color w:val="655A41"/>
          <w:sz w:val="18"/>
          <w:szCs w:val="18"/>
        </w:rPr>
        <w:t>An</w:t>
      </w:r>
      <w:proofErr w:type="gramEnd"/>
      <w:r w:rsidRPr="002219CE">
        <w:rPr>
          <w:rFonts w:ascii="Verdana" w:eastAsia="Times New Roman" w:hAnsi="Verdana" w:cs="Times New Roman"/>
          <w:color w:val="655A41"/>
          <w:sz w:val="18"/>
          <w:szCs w:val="18"/>
        </w:rPr>
        <w:t xml:space="preserve"> intangible asset, the exclusive right to sell a product or process for 17 years under government protection.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Payback Curve</w:t>
      </w:r>
      <w:r w:rsidRPr="002219CE">
        <w:rPr>
          <w:rFonts w:ascii="Verdana" w:eastAsia="Times New Roman" w:hAnsi="Verdana" w:cs="Times New Roman"/>
          <w:color w:val="655A41"/>
          <w:sz w:val="18"/>
          <w:szCs w:val="18"/>
        </w:rPr>
        <w:br/>
        <w:t xml:space="preserve">Depicts the point in time when the cash returns of an investment exactly equal the earlier cash investments.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Phase Review Process</w:t>
      </w:r>
      <w:r w:rsidRPr="002219CE">
        <w:rPr>
          <w:rFonts w:ascii="Verdana" w:eastAsia="Times New Roman" w:hAnsi="Verdana" w:cs="Times New Roman"/>
          <w:color w:val="655A41"/>
          <w:sz w:val="18"/>
          <w:szCs w:val="18"/>
        </w:rPr>
        <w:br/>
        <w:t>Typical phases, and the financial analysis involved, are:</w:t>
      </w:r>
    </w:p>
    <w:p w:rsidR="002219CE" w:rsidRPr="002219CE" w:rsidRDefault="002219CE" w:rsidP="002219CE">
      <w:pPr>
        <w:numPr>
          <w:ilvl w:val="0"/>
          <w:numId w:val="1"/>
        </w:numPr>
        <w:spacing w:after="165" w:line="240" w:lineRule="auto"/>
        <w:ind w:left="870" w:right="270"/>
        <w:rPr>
          <w:rFonts w:ascii="Verdana" w:eastAsia="Times New Roman" w:hAnsi="Verdana" w:cs="Times New Roman"/>
          <w:color w:val="655A41"/>
          <w:sz w:val="18"/>
          <w:szCs w:val="18"/>
        </w:rPr>
      </w:pPr>
      <w:r w:rsidRPr="002219CE">
        <w:rPr>
          <w:rFonts w:ascii="Verdana" w:eastAsia="Times New Roman" w:hAnsi="Verdana" w:cs="Times New Roman"/>
          <w:color w:val="655A41"/>
          <w:sz w:val="18"/>
          <w:szCs w:val="18"/>
        </w:rPr>
        <w:t xml:space="preserve">Feasibility - tops down financial sizing </w:t>
      </w:r>
    </w:p>
    <w:p w:rsidR="002219CE" w:rsidRPr="002219CE" w:rsidRDefault="002219CE" w:rsidP="002219CE">
      <w:pPr>
        <w:numPr>
          <w:ilvl w:val="0"/>
          <w:numId w:val="1"/>
        </w:numPr>
        <w:spacing w:after="165" w:line="240" w:lineRule="auto"/>
        <w:ind w:left="870" w:right="270"/>
        <w:rPr>
          <w:rFonts w:ascii="Verdana" w:eastAsia="Times New Roman" w:hAnsi="Verdana" w:cs="Times New Roman"/>
          <w:color w:val="655A41"/>
          <w:sz w:val="18"/>
          <w:szCs w:val="18"/>
        </w:rPr>
      </w:pPr>
      <w:r w:rsidRPr="002219CE">
        <w:rPr>
          <w:rFonts w:ascii="Verdana" w:eastAsia="Times New Roman" w:hAnsi="Verdana" w:cs="Times New Roman"/>
          <w:color w:val="655A41"/>
          <w:sz w:val="18"/>
          <w:szCs w:val="18"/>
        </w:rPr>
        <w:t xml:space="preserve">Commitment - detailed revenue and cost estimate </w:t>
      </w:r>
    </w:p>
    <w:p w:rsidR="002219CE" w:rsidRPr="002219CE" w:rsidRDefault="002219CE" w:rsidP="002219CE">
      <w:pPr>
        <w:numPr>
          <w:ilvl w:val="0"/>
          <w:numId w:val="1"/>
        </w:numPr>
        <w:spacing w:after="165" w:line="240" w:lineRule="auto"/>
        <w:ind w:left="870" w:right="270"/>
        <w:rPr>
          <w:rFonts w:ascii="Verdana" w:eastAsia="Times New Roman" w:hAnsi="Verdana" w:cs="Times New Roman"/>
          <w:color w:val="655A41"/>
          <w:sz w:val="18"/>
          <w:szCs w:val="18"/>
        </w:rPr>
      </w:pPr>
      <w:r w:rsidRPr="002219CE">
        <w:rPr>
          <w:rFonts w:ascii="Verdana" w:eastAsia="Times New Roman" w:hAnsi="Verdana" w:cs="Times New Roman"/>
          <w:color w:val="655A41"/>
          <w:sz w:val="18"/>
          <w:szCs w:val="18"/>
        </w:rPr>
        <w:t xml:space="preserve">Announcement - review and update of detailed review </w:t>
      </w:r>
    </w:p>
    <w:p w:rsidR="002219CE" w:rsidRPr="002219CE" w:rsidRDefault="002219CE" w:rsidP="002219CE">
      <w:pPr>
        <w:numPr>
          <w:ilvl w:val="0"/>
          <w:numId w:val="1"/>
        </w:numPr>
        <w:spacing w:after="165" w:line="240" w:lineRule="auto"/>
        <w:ind w:left="870" w:right="270"/>
        <w:rPr>
          <w:rFonts w:ascii="Verdana" w:eastAsia="Times New Roman" w:hAnsi="Verdana" w:cs="Times New Roman"/>
          <w:color w:val="655A41"/>
          <w:sz w:val="18"/>
          <w:szCs w:val="18"/>
        </w:rPr>
      </w:pPr>
      <w:r w:rsidRPr="002219CE">
        <w:rPr>
          <w:rFonts w:ascii="Verdana" w:eastAsia="Times New Roman" w:hAnsi="Verdana" w:cs="Times New Roman"/>
          <w:color w:val="655A41"/>
          <w:sz w:val="18"/>
          <w:szCs w:val="18"/>
        </w:rPr>
        <w:t xml:space="preserve">Life Cycle Determination - detailed sizing for planning exit strategy </w:t>
      </w:r>
    </w:p>
    <w:p w:rsidR="002219CE" w:rsidRPr="002219CE" w:rsidRDefault="002219CE" w:rsidP="002219CE">
      <w:pPr>
        <w:numPr>
          <w:ilvl w:val="0"/>
          <w:numId w:val="1"/>
        </w:numPr>
        <w:spacing w:after="165" w:line="240" w:lineRule="auto"/>
        <w:ind w:left="870" w:right="270"/>
        <w:rPr>
          <w:rFonts w:ascii="Verdana" w:eastAsia="Times New Roman" w:hAnsi="Verdana" w:cs="Times New Roman"/>
          <w:color w:val="655A41"/>
          <w:sz w:val="18"/>
          <w:szCs w:val="18"/>
        </w:rPr>
      </w:pPr>
      <w:r w:rsidRPr="002219CE">
        <w:rPr>
          <w:rFonts w:ascii="Verdana" w:eastAsia="Times New Roman" w:hAnsi="Verdana" w:cs="Times New Roman"/>
          <w:color w:val="655A41"/>
          <w:sz w:val="18"/>
          <w:szCs w:val="18"/>
        </w:rPr>
        <w:t xml:space="preserve">Exit and Disposal - tops down sizing to focus on inventory and asset disposition </w:t>
      </w:r>
    </w:p>
    <w:p w:rsidR="002219CE" w:rsidRPr="002219CE" w:rsidRDefault="002219CE" w:rsidP="002219CE">
      <w:pPr>
        <w:spacing w:before="105" w:after="165" w:line="240" w:lineRule="auto"/>
        <w:ind w:left="330" w:right="270"/>
        <w:rPr>
          <w:rFonts w:ascii="Verdana" w:eastAsia="Times New Roman" w:hAnsi="Verdana" w:cs="Times New Roman"/>
          <w:color w:val="655A41"/>
          <w:sz w:val="18"/>
          <w:szCs w:val="18"/>
        </w:rPr>
      </w:pPr>
      <w:r w:rsidRPr="002219CE">
        <w:rPr>
          <w:rFonts w:ascii="Verdana" w:eastAsia="Times New Roman" w:hAnsi="Verdana" w:cs="Times New Roman"/>
          <w:b/>
          <w:bCs/>
          <w:color w:val="655A41"/>
          <w:sz w:val="20"/>
        </w:rPr>
        <w:t>Pre-Tax Profit Margin</w:t>
      </w:r>
      <w:r w:rsidRPr="002219CE">
        <w:rPr>
          <w:rFonts w:ascii="Verdana" w:eastAsia="Times New Roman" w:hAnsi="Verdana" w:cs="Times New Roman"/>
          <w:color w:val="655A41"/>
          <w:sz w:val="18"/>
          <w:szCs w:val="18"/>
        </w:rPr>
        <w:br/>
      </w:r>
      <w:proofErr w:type="gramStart"/>
      <w:r w:rsidRPr="002219CE">
        <w:rPr>
          <w:rFonts w:ascii="Verdana" w:eastAsia="Times New Roman" w:hAnsi="Verdana" w:cs="Times New Roman"/>
          <w:color w:val="655A41"/>
          <w:sz w:val="18"/>
          <w:szCs w:val="18"/>
        </w:rPr>
        <w:t>A</w:t>
      </w:r>
      <w:proofErr w:type="gramEnd"/>
      <w:r w:rsidRPr="002219CE">
        <w:rPr>
          <w:rFonts w:ascii="Verdana" w:eastAsia="Times New Roman" w:hAnsi="Verdana" w:cs="Times New Roman"/>
          <w:color w:val="655A41"/>
          <w:sz w:val="18"/>
          <w:szCs w:val="18"/>
        </w:rPr>
        <w:t xml:space="preserve"> percentage calculated as Net Profit before Tax divided by Revenue.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Price/Earning (P/E</w:t>
      </w:r>
      <w:proofErr w:type="gramStart"/>
      <w:r w:rsidRPr="002219CE">
        <w:rPr>
          <w:rFonts w:ascii="Verdana" w:eastAsia="Times New Roman" w:hAnsi="Verdana" w:cs="Times New Roman"/>
          <w:b/>
          <w:bCs/>
          <w:color w:val="655A41"/>
          <w:sz w:val="20"/>
        </w:rPr>
        <w:t>)</w:t>
      </w:r>
      <w:proofErr w:type="gramEnd"/>
      <w:r w:rsidRPr="002219CE">
        <w:rPr>
          <w:rFonts w:ascii="Verdana" w:eastAsia="Times New Roman" w:hAnsi="Verdana" w:cs="Times New Roman"/>
          <w:color w:val="655A41"/>
          <w:sz w:val="18"/>
          <w:szCs w:val="18"/>
        </w:rPr>
        <w:br/>
        <w:t xml:space="preserve">The value of a stock expressed as a multiple of a company's earnings, generally as Earnings per Share of stock outstanding (EPS).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Price Sensitivity</w:t>
      </w:r>
      <w:r w:rsidRPr="002219CE">
        <w:rPr>
          <w:rFonts w:ascii="Verdana" w:eastAsia="Times New Roman" w:hAnsi="Verdana" w:cs="Times New Roman"/>
          <w:color w:val="655A41"/>
          <w:sz w:val="18"/>
          <w:szCs w:val="18"/>
        </w:rPr>
        <w:br/>
        <w:t xml:space="preserve">Price usually has an impact on demand. Often when prices are reduced, the volume of goods sold increases. Higher prices may decrease the volume. Optimum profitability may be at low prices with high volumes, or high prices with low volumes, or anywhere in between.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Pricing Integrity (</w:t>
      </w:r>
      <w:proofErr w:type="spellStart"/>
      <w:r w:rsidRPr="002219CE">
        <w:rPr>
          <w:rFonts w:ascii="Verdana" w:eastAsia="Times New Roman" w:hAnsi="Verdana" w:cs="Times New Roman"/>
          <w:b/>
          <w:bCs/>
          <w:color w:val="655A41"/>
          <w:sz w:val="20"/>
        </w:rPr>
        <w:t>vs</w:t>
      </w:r>
      <w:proofErr w:type="spellEnd"/>
      <w:r w:rsidRPr="002219CE">
        <w:rPr>
          <w:rFonts w:ascii="Verdana" w:eastAsia="Times New Roman" w:hAnsi="Verdana" w:cs="Times New Roman"/>
          <w:b/>
          <w:bCs/>
          <w:color w:val="655A41"/>
          <w:sz w:val="20"/>
        </w:rPr>
        <w:t xml:space="preserve"> Target</w:t>
      </w:r>
      <w:proofErr w:type="gramStart"/>
      <w:r w:rsidRPr="002219CE">
        <w:rPr>
          <w:rFonts w:ascii="Verdana" w:eastAsia="Times New Roman" w:hAnsi="Verdana" w:cs="Times New Roman"/>
          <w:b/>
          <w:bCs/>
          <w:color w:val="655A41"/>
          <w:sz w:val="20"/>
        </w:rPr>
        <w:t>)</w:t>
      </w:r>
      <w:proofErr w:type="gramEnd"/>
      <w:r w:rsidRPr="002219CE">
        <w:rPr>
          <w:rFonts w:ascii="Verdana" w:eastAsia="Times New Roman" w:hAnsi="Verdana" w:cs="Times New Roman"/>
          <w:color w:val="655A41"/>
          <w:sz w:val="18"/>
          <w:szCs w:val="18"/>
        </w:rPr>
        <w:br/>
        <w:t xml:space="preserve">A measure of discounts as a per cent of Revenue, to maintain optimum pricing for maximum profitability. Depending on the industry and the degree of discretion allowed the sales force, it can be very important to carefully control discounting effects.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Prime Rate</w:t>
      </w:r>
      <w:r w:rsidRPr="002219CE">
        <w:rPr>
          <w:rFonts w:ascii="Verdana" w:eastAsia="Times New Roman" w:hAnsi="Verdana" w:cs="Times New Roman"/>
          <w:color w:val="655A41"/>
          <w:sz w:val="18"/>
          <w:szCs w:val="18"/>
        </w:rPr>
        <w:br/>
        <w:t xml:space="preserve">The interest rate the Federal Reserve Bank charges its best customers for funds it lends them.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Productivity</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lastRenderedPageBreak/>
        <w:t xml:space="preserve">Measures of efficiency, usually labor efficiency, calculated as cost of labor as a per cent of revenue or per production unit, or production units per direct employee.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Profit &amp; Loss (P&amp;L</w:t>
      </w:r>
      <w:proofErr w:type="gramStart"/>
      <w:r w:rsidRPr="002219CE">
        <w:rPr>
          <w:rFonts w:ascii="Verdana" w:eastAsia="Times New Roman" w:hAnsi="Verdana" w:cs="Times New Roman"/>
          <w:b/>
          <w:bCs/>
          <w:color w:val="655A41"/>
          <w:sz w:val="20"/>
        </w:rPr>
        <w:t>)</w:t>
      </w:r>
      <w:proofErr w:type="gramEnd"/>
      <w:r w:rsidRPr="002219CE">
        <w:rPr>
          <w:rFonts w:ascii="Verdana" w:eastAsia="Times New Roman" w:hAnsi="Verdana" w:cs="Times New Roman"/>
          <w:color w:val="655A41"/>
          <w:sz w:val="18"/>
          <w:szCs w:val="18"/>
        </w:rPr>
        <w:br/>
        <w:t xml:space="preserve">Standard financial statement that presents revenue, costs, and the resulting profits for one or more fiscal periods.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Profit Margin</w:t>
      </w:r>
      <w:r w:rsidRPr="002219CE">
        <w:rPr>
          <w:rFonts w:ascii="Verdana" w:eastAsia="Times New Roman" w:hAnsi="Verdana" w:cs="Times New Roman"/>
          <w:color w:val="655A41"/>
          <w:sz w:val="18"/>
          <w:szCs w:val="18"/>
        </w:rPr>
        <w:br/>
        <w:t xml:space="preserve">Profit Margin is a percentage calculated as Net Profit after Tax divided by Revenue.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Profit per Employee</w:t>
      </w:r>
      <w:r w:rsidRPr="002219CE">
        <w:rPr>
          <w:rFonts w:ascii="Verdana" w:eastAsia="Times New Roman" w:hAnsi="Verdana" w:cs="Times New Roman"/>
          <w:color w:val="655A41"/>
          <w:sz w:val="18"/>
          <w:szCs w:val="18"/>
        </w:rPr>
        <w:br/>
      </w:r>
      <w:proofErr w:type="gramStart"/>
      <w:r w:rsidRPr="002219CE">
        <w:rPr>
          <w:rFonts w:ascii="Verdana" w:eastAsia="Times New Roman" w:hAnsi="Verdana" w:cs="Times New Roman"/>
          <w:color w:val="655A41"/>
          <w:sz w:val="18"/>
          <w:szCs w:val="18"/>
        </w:rPr>
        <w:t>This</w:t>
      </w:r>
      <w:proofErr w:type="gramEnd"/>
      <w:r w:rsidRPr="002219CE">
        <w:rPr>
          <w:rFonts w:ascii="Verdana" w:eastAsia="Times New Roman" w:hAnsi="Verdana" w:cs="Times New Roman"/>
          <w:color w:val="655A41"/>
          <w:sz w:val="18"/>
          <w:szCs w:val="18"/>
        </w:rPr>
        <w:t xml:space="preserve"> is a measure of the efficient use of human resources in generating profit for an organization.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Purchasing Effectiveness</w:t>
      </w:r>
      <w:r w:rsidRPr="002219CE">
        <w:rPr>
          <w:rFonts w:ascii="Verdana" w:eastAsia="Times New Roman" w:hAnsi="Verdana" w:cs="Times New Roman"/>
          <w:color w:val="655A41"/>
          <w:sz w:val="18"/>
          <w:szCs w:val="18"/>
        </w:rPr>
        <w:br/>
        <w:t xml:space="preserve">Cost of purchasing as a per cent of revenue or purchases, or purchases per purchasing employee, tracked for continuous product cost improvement. Solid metrics allow companies to improve the cost of materials and supplies continuously. Improvements can also be realized in the consolidation of purchasing activities, by upgrading skills and consolidating buying power. </w:t>
      </w:r>
    </w:p>
    <w:p w:rsidR="002219CE" w:rsidRPr="002219CE" w:rsidRDefault="002219CE" w:rsidP="002219CE">
      <w:pPr>
        <w:spacing w:after="165" w:line="240" w:lineRule="auto"/>
        <w:jc w:val="right"/>
        <w:rPr>
          <w:rFonts w:ascii="Verdana" w:eastAsia="Times New Roman" w:hAnsi="Verdana" w:cs="Times New Roman"/>
          <w:b/>
          <w:bCs/>
          <w:color w:val="506C50"/>
          <w:sz w:val="18"/>
          <w:szCs w:val="18"/>
        </w:rPr>
      </w:pPr>
    </w:p>
    <w:p w:rsidR="002219CE" w:rsidRPr="002219CE" w:rsidRDefault="002219CE" w:rsidP="002219CE">
      <w:pPr>
        <w:spacing w:after="0" w:line="240" w:lineRule="auto"/>
        <w:rPr>
          <w:rFonts w:ascii="Verdana" w:eastAsia="Times New Roman" w:hAnsi="Verdana" w:cs="Times New Roman"/>
          <w:color w:val="655A41"/>
          <w:sz w:val="18"/>
          <w:szCs w:val="18"/>
        </w:rPr>
      </w:pPr>
      <w:bookmarkStart w:id="15" w:name="Q"/>
      <w:bookmarkEnd w:id="15"/>
      <w:r>
        <w:rPr>
          <w:rFonts w:ascii="Verdana" w:eastAsia="Times New Roman" w:hAnsi="Verdana" w:cs="Times New Roman"/>
          <w:noProof/>
          <w:color w:val="655A41"/>
          <w:sz w:val="18"/>
          <w:szCs w:val="18"/>
          <w:shd w:val="clear" w:color="auto" w:fill="F0EDEB"/>
        </w:rPr>
        <w:drawing>
          <wp:inline distT="0" distB="0" distL="0" distR="0">
            <wp:extent cx="4381500" cy="228600"/>
            <wp:effectExtent l="19050" t="0" r="0" b="0"/>
            <wp:docPr id="17" name="Picture 17" descr="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Q"/>
                    <pic:cNvPicPr>
                      <a:picLocks noChangeAspect="1" noChangeArrowheads="1"/>
                    </pic:cNvPicPr>
                  </pic:nvPicPr>
                  <pic:blipFill>
                    <a:blip r:embed="rId25"/>
                    <a:srcRect/>
                    <a:stretch>
                      <a:fillRect/>
                    </a:stretch>
                  </pic:blipFill>
                  <pic:spPr bwMode="auto">
                    <a:xfrm>
                      <a:off x="0" y="0"/>
                      <a:ext cx="4381500" cy="228600"/>
                    </a:xfrm>
                    <a:prstGeom prst="rect">
                      <a:avLst/>
                    </a:prstGeom>
                    <a:noFill/>
                    <a:ln w="9525">
                      <a:noFill/>
                      <a:miter lim="800000"/>
                      <a:headEnd/>
                      <a:tailEnd/>
                    </a:ln>
                  </pic:spPr>
                </pic:pic>
              </a:graphicData>
            </a:graphic>
          </wp:inline>
        </w:drawing>
      </w:r>
    </w:p>
    <w:p w:rsidR="002219CE" w:rsidRPr="002219CE" w:rsidRDefault="002219CE" w:rsidP="002219CE">
      <w:pPr>
        <w:spacing w:before="105" w:after="165" w:line="240" w:lineRule="auto"/>
        <w:ind w:left="330" w:right="270"/>
        <w:rPr>
          <w:rFonts w:ascii="Verdana" w:eastAsia="Times New Roman" w:hAnsi="Verdana" w:cs="Times New Roman"/>
          <w:color w:val="655A41"/>
          <w:sz w:val="18"/>
          <w:szCs w:val="18"/>
        </w:rPr>
      </w:pPr>
      <w:r w:rsidRPr="002219CE">
        <w:rPr>
          <w:rFonts w:ascii="Verdana" w:eastAsia="Times New Roman" w:hAnsi="Verdana" w:cs="Times New Roman"/>
          <w:b/>
          <w:bCs/>
          <w:color w:val="655A41"/>
          <w:sz w:val="20"/>
        </w:rPr>
        <w:t>Quality Teams</w:t>
      </w:r>
      <w:r w:rsidRPr="002219CE">
        <w:rPr>
          <w:rFonts w:ascii="Verdana" w:eastAsia="Times New Roman" w:hAnsi="Verdana" w:cs="Times New Roman"/>
          <w:color w:val="655A41"/>
          <w:sz w:val="18"/>
          <w:szCs w:val="18"/>
        </w:rPr>
        <w:br/>
        <w:t xml:space="preserve">Building on Japanese concepts, many companies </w:t>
      </w:r>
      <w:proofErr w:type="gramStart"/>
      <w:r w:rsidRPr="002219CE">
        <w:rPr>
          <w:rFonts w:ascii="Verdana" w:eastAsia="Times New Roman" w:hAnsi="Verdana" w:cs="Times New Roman"/>
          <w:color w:val="655A41"/>
          <w:sz w:val="18"/>
          <w:szCs w:val="18"/>
        </w:rPr>
        <w:t>have</w:t>
      </w:r>
      <w:proofErr w:type="gramEnd"/>
      <w:r w:rsidRPr="002219CE">
        <w:rPr>
          <w:rFonts w:ascii="Verdana" w:eastAsia="Times New Roman" w:hAnsi="Verdana" w:cs="Times New Roman"/>
          <w:color w:val="655A41"/>
          <w:sz w:val="18"/>
          <w:szCs w:val="18"/>
        </w:rPr>
        <w:t xml:space="preserve"> instituted teams focused on continuous improvement. Advanced significantly by Motorola, there are many well designed tools to effectively focus this team energy. See also Six Sigma. </w:t>
      </w:r>
    </w:p>
    <w:p w:rsidR="002219CE" w:rsidRPr="002219CE" w:rsidRDefault="002219CE" w:rsidP="002219CE">
      <w:pPr>
        <w:spacing w:after="165" w:line="240" w:lineRule="auto"/>
        <w:jc w:val="right"/>
        <w:rPr>
          <w:rFonts w:ascii="Verdana" w:eastAsia="Times New Roman" w:hAnsi="Verdana" w:cs="Times New Roman"/>
          <w:b/>
          <w:bCs/>
          <w:color w:val="506C50"/>
          <w:sz w:val="18"/>
          <w:szCs w:val="18"/>
        </w:rPr>
      </w:pPr>
    </w:p>
    <w:p w:rsidR="002219CE" w:rsidRPr="002219CE" w:rsidRDefault="002219CE" w:rsidP="002219CE">
      <w:pPr>
        <w:spacing w:after="0" w:line="240" w:lineRule="auto"/>
        <w:rPr>
          <w:rFonts w:ascii="Verdana" w:eastAsia="Times New Roman" w:hAnsi="Verdana" w:cs="Times New Roman"/>
          <w:color w:val="655A41"/>
          <w:sz w:val="18"/>
          <w:szCs w:val="18"/>
        </w:rPr>
      </w:pPr>
      <w:bookmarkStart w:id="16" w:name="R"/>
      <w:bookmarkEnd w:id="16"/>
      <w:r>
        <w:rPr>
          <w:rFonts w:ascii="Verdana" w:eastAsia="Times New Roman" w:hAnsi="Verdana" w:cs="Times New Roman"/>
          <w:noProof/>
          <w:color w:val="655A41"/>
          <w:sz w:val="18"/>
          <w:szCs w:val="18"/>
          <w:shd w:val="clear" w:color="auto" w:fill="F0EDEB"/>
        </w:rPr>
        <w:drawing>
          <wp:inline distT="0" distB="0" distL="0" distR="0">
            <wp:extent cx="4381500" cy="228600"/>
            <wp:effectExtent l="19050" t="0" r="0" b="0"/>
            <wp:docPr id="18" name="Picture 18"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
                    <pic:cNvPicPr>
                      <a:picLocks noChangeAspect="1" noChangeArrowheads="1"/>
                    </pic:cNvPicPr>
                  </pic:nvPicPr>
                  <pic:blipFill>
                    <a:blip r:embed="rId26"/>
                    <a:srcRect/>
                    <a:stretch>
                      <a:fillRect/>
                    </a:stretch>
                  </pic:blipFill>
                  <pic:spPr bwMode="auto">
                    <a:xfrm>
                      <a:off x="0" y="0"/>
                      <a:ext cx="4381500" cy="228600"/>
                    </a:xfrm>
                    <a:prstGeom prst="rect">
                      <a:avLst/>
                    </a:prstGeom>
                    <a:noFill/>
                    <a:ln w="9525">
                      <a:noFill/>
                      <a:miter lim="800000"/>
                      <a:headEnd/>
                      <a:tailEnd/>
                    </a:ln>
                  </pic:spPr>
                </pic:pic>
              </a:graphicData>
            </a:graphic>
          </wp:inline>
        </w:drawing>
      </w:r>
    </w:p>
    <w:p w:rsidR="002219CE" w:rsidRPr="002219CE" w:rsidRDefault="002219CE" w:rsidP="002219CE">
      <w:pPr>
        <w:spacing w:before="105" w:after="165" w:line="240" w:lineRule="auto"/>
        <w:ind w:left="330" w:right="270"/>
        <w:rPr>
          <w:rFonts w:ascii="Verdana" w:eastAsia="Times New Roman" w:hAnsi="Verdana" w:cs="Times New Roman"/>
          <w:color w:val="655A41"/>
          <w:sz w:val="18"/>
          <w:szCs w:val="18"/>
        </w:rPr>
      </w:pPr>
      <w:proofErr w:type="gramStart"/>
      <w:r w:rsidRPr="002219CE">
        <w:rPr>
          <w:rFonts w:ascii="Verdana" w:eastAsia="Times New Roman" w:hAnsi="Verdana" w:cs="Times New Roman"/>
          <w:b/>
          <w:bCs/>
          <w:color w:val="655A41"/>
          <w:sz w:val="20"/>
        </w:rPr>
        <w:t>Revenue per Employee</w:t>
      </w:r>
      <w:r w:rsidRPr="002219CE">
        <w:rPr>
          <w:rFonts w:ascii="Verdana" w:eastAsia="Times New Roman" w:hAnsi="Verdana" w:cs="Times New Roman"/>
          <w:color w:val="655A41"/>
          <w:sz w:val="18"/>
          <w:szCs w:val="18"/>
        </w:rPr>
        <w:br/>
        <w:t>A measure of the efficient use of human resources in securing income for an organization.</w:t>
      </w:r>
      <w:proofErr w:type="gramEnd"/>
      <w:r w:rsidRPr="002219CE">
        <w:rPr>
          <w:rFonts w:ascii="Verdana" w:eastAsia="Times New Roman" w:hAnsi="Verdana" w:cs="Times New Roman"/>
          <w:color w:val="655A41"/>
          <w:sz w:val="18"/>
          <w:szCs w:val="18"/>
        </w:rPr>
        <w:t xml:space="preserve">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Risks</w:t>
      </w:r>
      <w:r w:rsidRPr="002219CE">
        <w:rPr>
          <w:rFonts w:ascii="Verdana" w:eastAsia="Times New Roman" w:hAnsi="Verdana" w:cs="Times New Roman"/>
          <w:color w:val="655A41"/>
          <w:sz w:val="18"/>
          <w:szCs w:val="18"/>
        </w:rPr>
        <w:br/>
        <w:t xml:space="preserve">Risk factors are any potential events that could significantly affect an investment. Risks can be better understood by reviewing optimistic, expected, and pessimistic cases, and mitigated by specific action plans.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hyperlink r:id="rId27" w:history="1">
        <w:r w:rsidRPr="002219CE">
          <w:rPr>
            <w:rFonts w:ascii="Verdana" w:eastAsia="Times New Roman" w:hAnsi="Verdana" w:cs="Times New Roman"/>
            <w:b/>
            <w:bCs/>
            <w:color w:val="506C50"/>
            <w:sz w:val="20"/>
            <w:u w:val="single"/>
          </w:rPr>
          <w:t>ROI (Return on Investment</w:t>
        </w:r>
        <w:proofErr w:type="gramStart"/>
        <w:r w:rsidRPr="002219CE">
          <w:rPr>
            <w:rFonts w:ascii="Verdana" w:eastAsia="Times New Roman" w:hAnsi="Verdana" w:cs="Times New Roman"/>
            <w:b/>
            <w:bCs/>
            <w:color w:val="506C50"/>
            <w:sz w:val="20"/>
            <w:u w:val="single"/>
          </w:rPr>
          <w:t>)</w:t>
        </w:r>
        <w:proofErr w:type="gramEnd"/>
      </w:hyperlink>
      <w:r w:rsidRPr="002219CE">
        <w:rPr>
          <w:rFonts w:ascii="Verdana" w:eastAsia="Times New Roman" w:hAnsi="Verdana" w:cs="Times New Roman"/>
          <w:color w:val="655A41"/>
          <w:sz w:val="18"/>
          <w:szCs w:val="18"/>
        </w:rPr>
        <w:br/>
        <w:t xml:space="preserve">Investments are made in order to receive returns (benefits). There are many ways to calculate ROI, on a cash basis or a profit basis, with or without tax effects, or over varying time periods. Different approaches are helpful for differing purposes.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ROIC (Return on Invested Capital</w:t>
      </w:r>
      <w:proofErr w:type="gramStart"/>
      <w:r w:rsidRPr="002219CE">
        <w:rPr>
          <w:rFonts w:ascii="Verdana" w:eastAsia="Times New Roman" w:hAnsi="Verdana" w:cs="Times New Roman"/>
          <w:b/>
          <w:bCs/>
          <w:color w:val="655A41"/>
          <w:sz w:val="20"/>
        </w:rPr>
        <w:t>)</w:t>
      </w:r>
      <w:proofErr w:type="gramEnd"/>
      <w:r w:rsidRPr="002219CE">
        <w:rPr>
          <w:rFonts w:ascii="Verdana" w:eastAsia="Times New Roman" w:hAnsi="Verdana" w:cs="Times New Roman"/>
          <w:color w:val="655A41"/>
          <w:sz w:val="18"/>
          <w:szCs w:val="18"/>
        </w:rPr>
        <w:br/>
        <w:t xml:space="preserve">One of the most effective metrics for holding operating managers accountable is ROIC, measured each year to focus on the after-tax earnings on the average assets employed.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proofErr w:type="gramStart"/>
      <w:r w:rsidRPr="002219CE">
        <w:rPr>
          <w:rFonts w:ascii="Verdana" w:eastAsia="Times New Roman" w:hAnsi="Verdana" w:cs="Times New Roman"/>
          <w:b/>
          <w:bCs/>
          <w:color w:val="655A41"/>
          <w:sz w:val="20"/>
        </w:rPr>
        <w:t>Roles and Responsibilities</w:t>
      </w:r>
      <w:r w:rsidRPr="002219CE">
        <w:rPr>
          <w:rFonts w:ascii="Verdana" w:eastAsia="Times New Roman" w:hAnsi="Verdana" w:cs="Times New Roman"/>
          <w:color w:val="655A41"/>
          <w:sz w:val="18"/>
          <w:szCs w:val="18"/>
        </w:rPr>
        <w:br/>
        <w:t>Clear delineation of who is Accountable or Responsible for, or must be Consulted or Informed of, actions and results.</w:t>
      </w:r>
      <w:proofErr w:type="gramEnd"/>
      <w:r w:rsidRPr="002219CE">
        <w:rPr>
          <w:rFonts w:ascii="Verdana" w:eastAsia="Times New Roman" w:hAnsi="Verdana" w:cs="Times New Roman"/>
          <w:color w:val="655A41"/>
          <w:sz w:val="18"/>
          <w:szCs w:val="18"/>
        </w:rPr>
        <w:t xml:space="preserve"> </w:t>
      </w:r>
    </w:p>
    <w:p w:rsidR="002219CE" w:rsidRPr="002219CE" w:rsidRDefault="002219CE" w:rsidP="002219CE">
      <w:pPr>
        <w:spacing w:after="165" w:line="240" w:lineRule="auto"/>
        <w:jc w:val="right"/>
        <w:rPr>
          <w:rFonts w:ascii="Verdana" w:eastAsia="Times New Roman" w:hAnsi="Verdana" w:cs="Times New Roman"/>
          <w:b/>
          <w:bCs/>
          <w:color w:val="506C50"/>
          <w:sz w:val="18"/>
          <w:szCs w:val="18"/>
        </w:rPr>
      </w:pPr>
    </w:p>
    <w:p w:rsidR="002219CE" w:rsidRPr="002219CE" w:rsidRDefault="002219CE" w:rsidP="002219CE">
      <w:pPr>
        <w:spacing w:after="0" w:line="240" w:lineRule="auto"/>
        <w:rPr>
          <w:rFonts w:ascii="Verdana" w:eastAsia="Times New Roman" w:hAnsi="Verdana" w:cs="Times New Roman"/>
          <w:color w:val="655A41"/>
          <w:sz w:val="18"/>
          <w:szCs w:val="18"/>
        </w:rPr>
      </w:pPr>
      <w:bookmarkStart w:id="17" w:name="S"/>
      <w:bookmarkEnd w:id="17"/>
      <w:r>
        <w:rPr>
          <w:rFonts w:ascii="Verdana" w:eastAsia="Times New Roman" w:hAnsi="Verdana" w:cs="Times New Roman"/>
          <w:noProof/>
          <w:color w:val="655A41"/>
          <w:sz w:val="18"/>
          <w:szCs w:val="18"/>
          <w:shd w:val="clear" w:color="auto" w:fill="F0EDEB"/>
        </w:rPr>
        <w:drawing>
          <wp:inline distT="0" distB="0" distL="0" distR="0">
            <wp:extent cx="4381500" cy="228600"/>
            <wp:effectExtent l="19050" t="0" r="0" b="0"/>
            <wp:docPr id="19" name="Picture 19" desc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
                    <pic:cNvPicPr>
                      <a:picLocks noChangeAspect="1" noChangeArrowheads="1"/>
                    </pic:cNvPicPr>
                  </pic:nvPicPr>
                  <pic:blipFill>
                    <a:blip r:embed="rId28"/>
                    <a:srcRect/>
                    <a:stretch>
                      <a:fillRect/>
                    </a:stretch>
                  </pic:blipFill>
                  <pic:spPr bwMode="auto">
                    <a:xfrm>
                      <a:off x="0" y="0"/>
                      <a:ext cx="4381500" cy="228600"/>
                    </a:xfrm>
                    <a:prstGeom prst="rect">
                      <a:avLst/>
                    </a:prstGeom>
                    <a:noFill/>
                    <a:ln w="9525">
                      <a:noFill/>
                      <a:miter lim="800000"/>
                      <a:headEnd/>
                      <a:tailEnd/>
                    </a:ln>
                  </pic:spPr>
                </pic:pic>
              </a:graphicData>
            </a:graphic>
          </wp:inline>
        </w:drawing>
      </w:r>
    </w:p>
    <w:p w:rsidR="002219CE" w:rsidRPr="002219CE" w:rsidRDefault="002219CE" w:rsidP="002219CE">
      <w:pPr>
        <w:spacing w:before="105" w:after="165" w:line="240" w:lineRule="auto"/>
        <w:ind w:left="330" w:right="270"/>
        <w:rPr>
          <w:rFonts w:ascii="Verdana" w:eastAsia="Times New Roman" w:hAnsi="Verdana" w:cs="Times New Roman"/>
          <w:color w:val="655A41"/>
          <w:sz w:val="18"/>
          <w:szCs w:val="18"/>
        </w:rPr>
      </w:pPr>
      <w:r w:rsidRPr="002219CE">
        <w:rPr>
          <w:rFonts w:ascii="Verdana" w:eastAsia="Times New Roman" w:hAnsi="Verdana" w:cs="Times New Roman"/>
          <w:b/>
          <w:bCs/>
          <w:color w:val="655A41"/>
          <w:sz w:val="20"/>
        </w:rPr>
        <w:lastRenderedPageBreak/>
        <w:t>Sales and Spin Offs</w:t>
      </w:r>
      <w:r w:rsidRPr="002219CE">
        <w:rPr>
          <w:rFonts w:ascii="Verdana" w:eastAsia="Times New Roman" w:hAnsi="Verdana" w:cs="Times New Roman"/>
          <w:color w:val="655A41"/>
          <w:sz w:val="18"/>
          <w:szCs w:val="18"/>
        </w:rPr>
        <w:br/>
        <w:t xml:space="preserve">In a spin off, a complete business with its own stock is constructed and removed. In a sale, any price may be paid for assets being divested, potentially impacting cash and equity.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Scenario</w:t>
      </w:r>
      <w:r w:rsidRPr="002219CE">
        <w:rPr>
          <w:rFonts w:ascii="Verdana" w:eastAsia="Times New Roman" w:hAnsi="Verdana" w:cs="Times New Roman"/>
          <w:color w:val="655A41"/>
          <w:sz w:val="18"/>
          <w:szCs w:val="18"/>
        </w:rPr>
        <w:br/>
      </w:r>
      <w:proofErr w:type="gramStart"/>
      <w:r w:rsidRPr="002219CE">
        <w:rPr>
          <w:rFonts w:ascii="Verdana" w:eastAsia="Times New Roman" w:hAnsi="Verdana" w:cs="Times New Roman"/>
          <w:color w:val="655A41"/>
          <w:sz w:val="18"/>
          <w:szCs w:val="18"/>
        </w:rPr>
        <w:t>A</w:t>
      </w:r>
      <w:proofErr w:type="gramEnd"/>
      <w:r w:rsidRPr="002219CE">
        <w:rPr>
          <w:rFonts w:ascii="Verdana" w:eastAsia="Times New Roman" w:hAnsi="Verdana" w:cs="Times New Roman"/>
          <w:color w:val="655A41"/>
          <w:sz w:val="18"/>
          <w:szCs w:val="18"/>
        </w:rPr>
        <w:t xml:space="preserve"> complete set of planned actions and their consolidated outcomes.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Seasonality</w:t>
      </w:r>
      <w:r w:rsidRPr="002219CE">
        <w:rPr>
          <w:rFonts w:ascii="Verdana" w:eastAsia="Times New Roman" w:hAnsi="Verdana" w:cs="Times New Roman"/>
          <w:color w:val="655A41"/>
          <w:sz w:val="18"/>
          <w:szCs w:val="18"/>
        </w:rPr>
        <w:br/>
        <w:t xml:space="preserve">Seasonal businesses gain a significant portion of their annual revenue in a single quarter, but their purchases and inventories may lead the revenues in a significantly different pattern.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Sensitivity Analysis / Sensitivity Cases</w:t>
      </w:r>
      <w:r w:rsidRPr="002219CE">
        <w:rPr>
          <w:rFonts w:ascii="Verdana" w:eastAsia="Times New Roman" w:hAnsi="Verdana" w:cs="Times New Roman"/>
          <w:color w:val="655A41"/>
          <w:sz w:val="18"/>
          <w:szCs w:val="18"/>
        </w:rPr>
        <w:br/>
        <w:t xml:space="preserve">Sensitivity tests consider what might happen if an investment under or over performs, and to develop contingency plans.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Shareholder Value</w:t>
      </w:r>
      <w:r w:rsidRPr="002219CE">
        <w:rPr>
          <w:rFonts w:ascii="Verdana" w:eastAsia="Times New Roman" w:hAnsi="Verdana" w:cs="Times New Roman"/>
          <w:color w:val="655A41"/>
          <w:sz w:val="18"/>
          <w:szCs w:val="18"/>
        </w:rPr>
        <w:br/>
        <w:t xml:space="preserve">Shareholder value can be defined as market value of the company's stock divided by the book value of the company, representing the premium stock purchasers are willing to pay for the assets of the company under its current management.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proofErr w:type="gramStart"/>
      <w:r w:rsidRPr="002219CE">
        <w:rPr>
          <w:rFonts w:ascii="Verdana" w:eastAsia="Times New Roman" w:hAnsi="Verdana" w:cs="Times New Roman"/>
          <w:b/>
          <w:bCs/>
          <w:color w:val="655A41"/>
          <w:sz w:val="20"/>
        </w:rPr>
        <w:t>Six Sigma</w:t>
      </w:r>
      <w:r w:rsidRPr="002219CE">
        <w:rPr>
          <w:rFonts w:ascii="Verdana" w:eastAsia="Times New Roman" w:hAnsi="Verdana" w:cs="Times New Roman"/>
          <w:color w:val="655A41"/>
          <w:sz w:val="18"/>
          <w:szCs w:val="18"/>
        </w:rPr>
        <w:br/>
        <w:t>Six Sigma</w:t>
      </w:r>
      <w:proofErr w:type="gramEnd"/>
      <w:r w:rsidRPr="002219CE">
        <w:rPr>
          <w:rFonts w:ascii="Verdana" w:eastAsia="Times New Roman" w:hAnsi="Verdana" w:cs="Times New Roman"/>
          <w:color w:val="655A41"/>
          <w:sz w:val="18"/>
          <w:szCs w:val="18"/>
        </w:rPr>
        <w:t xml:space="preserve"> refers to the statistical area under a probability curve in which the probability is 3.4 out of 1 million occurrences. Sigma is calculated mathematically as a variance from the mean result. Six Sigma teams attempt to apply statistical and quality improvement tools to a wide variety of business inefficiencies.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Standard Industrial Classification (SIC) Code</w:t>
      </w:r>
      <w:r w:rsidRPr="002219CE">
        <w:rPr>
          <w:rFonts w:ascii="Verdana" w:eastAsia="Times New Roman" w:hAnsi="Verdana" w:cs="Times New Roman"/>
          <w:color w:val="655A41"/>
          <w:sz w:val="18"/>
          <w:szCs w:val="18"/>
        </w:rPr>
        <w:br/>
        <w:t xml:space="preserve">Codes assigned to most industries in the United </w:t>
      </w:r>
      <w:proofErr w:type="gramStart"/>
      <w:r w:rsidRPr="002219CE">
        <w:rPr>
          <w:rFonts w:ascii="Verdana" w:eastAsia="Times New Roman" w:hAnsi="Verdana" w:cs="Times New Roman"/>
          <w:color w:val="655A41"/>
          <w:sz w:val="18"/>
          <w:szCs w:val="18"/>
        </w:rPr>
        <w:t>states</w:t>
      </w:r>
      <w:proofErr w:type="gramEnd"/>
      <w:r w:rsidRPr="002219CE">
        <w:rPr>
          <w:rFonts w:ascii="Verdana" w:eastAsia="Times New Roman" w:hAnsi="Verdana" w:cs="Times New Roman"/>
          <w:color w:val="655A41"/>
          <w:sz w:val="18"/>
          <w:szCs w:val="18"/>
        </w:rPr>
        <w:t xml:space="preserve"> for statistical analysis of the health of the economy. These codes are being supplanted by the North American Industrial Classification System (NAICS).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Strategic Business Unit (SBU</w:t>
      </w:r>
      <w:proofErr w:type="gramStart"/>
      <w:r w:rsidRPr="002219CE">
        <w:rPr>
          <w:rFonts w:ascii="Verdana" w:eastAsia="Times New Roman" w:hAnsi="Verdana" w:cs="Times New Roman"/>
          <w:b/>
          <w:bCs/>
          <w:color w:val="655A41"/>
          <w:sz w:val="20"/>
        </w:rPr>
        <w:t>)</w:t>
      </w:r>
      <w:proofErr w:type="gramEnd"/>
      <w:r w:rsidRPr="002219CE">
        <w:rPr>
          <w:rFonts w:ascii="Verdana" w:eastAsia="Times New Roman" w:hAnsi="Verdana" w:cs="Times New Roman"/>
          <w:color w:val="655A41"/>
          <w:sz w:val="18"/>
          <w:szCs w:val="18"/>
        </w:rPr>
        <w:br/>
        <w:t xml:space="preserve">Generally refers to a business within a business, often operated with some autonomy due to its identifiably different market focus.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Synergy</w:t>
      </w:r>
      <w:r w:rsidRPr="002219CE">
        <w:rPr>
          <w:rFonts w:ascii="Verdana" w:eastAsia="Times New Roman" w:hAnsi="Verdana" w:cs="Times New Roman"/>
          <w:color w:val="655A41"/>
          <w:sz w:val="18"/>
          <w:szCs w:val="18"/>
        </w:rPr>
        <w:br/>
        <w:t xml:space="preserve">Complementary products may boost each other's sales, or complementary improvement projects may gain more than the sum of their benefits. </w:t>
      </w:r>
    </w:p>
    <w:p w:rsidR="002219CE" w:rsidRPr="002219CE" w:rsidRDefault="002219CE" w:rsidP="002219CE">
      <w:pPr>
        <w:spacing w:after="165" w:line="240" w:lineRule="auto"/>
        <w:jc w:val="right"/>
        <w:rPr>
          <w:rFonts w:ascii="Verdana" w:eastAsia="Times New Roman" w:hAnsi="Verdana" w:cs="Times New Roman"/>
          <w:b/>
          <w:bCs/>
          <w:color w:val="506C50"/>
          <w:sz w:val="18"/>
          <w:szCs w:val="18"/>
        </w:rPr>
      </w:pPr>
    </w:p>
    <w:p w:rsidR="002219CE" w:rsidRPr="002219CE" w:rsidRDefault="002219CE" w:rsidP="002219CE">
      <w:pPr>
        <w:spacing w:after="0" w:line="240" w:lineRule="auto"/>
        <w:rPr>
          <w:rFonts w:ascii="Verdana" w:eastAsia="Times New Roman" w:hAnsi="Verdana" w:cs="Times New Roman"/>
          <w:color w:val="655A41"/>
          <w:sz w:val="18"/>
          <w:szCs w:val="18"/>
        </w:rPr>
      </w:pPr>
      <w:bookmarkStart w:id="18" w:name="T"/>
      <w:bookmarkEnd w:id="18"/>
      <w:r>
        <w:rPr>
          <w:rFonts w:ascii="Verdana" w:eastAsia="Times New Roman" w:hAnsi="Verdana" w:cs="Times New Roman"/>
          <w:noProof/>
          <w:color w:val="655A41"/>
          <w:sz w:val="18"/>
          <w:szCs w:val="18"/>
          <w:shd w:val="clear" w:color="auto" w:fill="F0EDEB"/>
        </w:rPr>
        <w:drawing>
          <wp:inline distT="0" distB="0" distL="0" distR="0">
            <wp:extent cx="4381500" cy="228600"/>
            <wp:effectExtent l="19050" t="0" r="0" b="0"/>
            <wp:docPr id="20" name="Picture 20" desc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
                    <pic:cNvPicPr>
                      <a:picLocks noChangeAspect="1" noChangeArrowheads="1"/>
                    </pic:cNvPicPr>
                  </pic:nvPicPr>
                  <pic:blipFill>
                    <a:blip r:embed="rId29"/>
                    <a:srcRect/>
                    <a:stretch>
                      <a:fillRect/>
                    </a:stretch>
                  </pic:blipFill>
                  <pic:spPr bwMode="auto">
                    <a:xfrm>
                      <a:off x="0" y="0"/>
                      <a:ext cx="4381500" cy="228600"/>
                    </a:xfrm>
                    <a:prstGeom prst="rect">
                      <a:avLst/>
                    </a:prstGeom>
                    <a:noFill/>
                    <a:ln w="9525">
                      <a:noFill/>
                      <a:miter lim="800000"/>
                      <a:headEnd/>
                      <a:tailEnd/>
                    </a:ln>
                  </pic:spPr>
                </pic:pic>
              </a:graphicData>
            </a:graphic>
          </wp:inline>
        </w:drawing>
      </w:r>
    </w:p>
    <w:p w:rsidR="002219CE" w:rsidRPr="002219CE" w:rsidRDefault="002219CE" w:rsidP="002219CE">
      <w:pPr>
        <w:spacing w:before="105" w:after="165" w:line="240" w:lineRule="auto"/>
        <w:ind w:left="330" w:right="270"/>
        <w:rPr>
          <w:rFonts w:ascii="Verdana" w:eastAsia="Times New Roman" w:hAnsi="Verdana" w:cs="Times New Roman"/>
          <w:color w:val="655A41"/>
          <w:sz w:val="18"/>
          <w:szCs w:val="18"/>
        </w:rPr>
      </w:pPr>
      <w:r w:rsidRPr="002219CE">
        <w:rPr>
          <w:rFonts w:ascii="Verdana" w:eastAsia="Times New Roman" w:hAnsi="Verdana" w:cs="Times New Roman"/>
          <w:b/>
          <w:bCs/>
          <w:color w:val="655A41"/>
          <w:sz w:val="20"/>
        </w:rPr>
        <w:t>Tax Rate</w:t>
      </w:r>
      <w:r w:rsidRPr="002219CE">
        <w:rPr>
          <w:rFonts w:ascii="Verdana" w:eastAsia="Times New Roman" w:hAnsi="Verdana" w:cs="Times New Roman"/>
          <w:color w:val="655A41"/>
          <w:sz w:val="18"/>
          <w:szCs w:val="18"/>
        </w:rPr>
        <w:br/>
        <w:t xml:space="preserve">For taxes paid to any taxing authority, national, state, or local. This is a complex area and generally warrants advice from professional tax advisors.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Turns or Turnover</w:t>
      </w:r>
      <w:r w:rsidRPr="002219CE">
        <w:rPr>
          <w:rFonts w:ascii="Verdana" w:eastAsia="Times New Roman" w:hAnsi="Verdana" w:cs="Times New Roman"/>
          <w:color w:val="655A41"/>
          <w:sz w:val="18"/>
          <w:szCs w:val="18"/>
        </w:rPr>
        <w:br/>
        <w:t xml:space="preserve">See Inventory Turns. </w:t>
      </w:r>
    </w:p>
    <w:p w:rsidR="002219CE" w:rsidRPr="002219CE" w:rsidRDefault="002219CE" w:rsidP="002219CE">
      <w:pPr>
        <w:spacing w:after="165" w:line="240" w:lineRule="auto"/>
        <w:jc w:val="right"/>
        <w:rPr>
          <w:rFonts w:ascii="Verdana" w:eastAsia="Times New Roman" w:hAnsi="Verdana" w:cs="Times New Roman"/>
          <w:b/>
          <w:bCs/>
          <w:color w:val="506C50"/>
          <w:sz w:val="18"/>
          <w:szCs w:val="18"/>
        </w:rPr>
      </w:pPr>
    </w:p>
    <w:p w:rsidR="002219CE" w:rsidRPr="002219CE" w:rsidRDefault="002219CE" w:rsidP="002219CE">
      <w:pPr>
        <w:spacing w:after="0" w:line="240" w:lineRule="auto"/>
        <w:rPr>
          <w:rFonts w:ascii="Verdana" w:eastAsia="Times New Roman" w:hAnsi="Verdana" w:cs="Times New Roman"/>
          <w:color w:val="655A41"/>
          <w:sz w:val="18"/>
          <w:szCs w:val="18"/>
        </w:rPr>
      </w:pPr>
      <w:bookmarkStart w:id="19" w:name="U"/>
      <w:bookmarkEnd w:id="19"/>
      <w:r>
        <w:rPr>
          <w:rFonts w:ascii="Verdana" w:eastAsia="Times New Roman" w:hAnsi="Verdana" w:cs="Times New Roman"/>
          <w:noProof/>
          <w:color w:val="655A41"/>
          <w:sz w:val="18"/>
          <w:szCs w:val="18"/>
          <w:shd w:val="clear" w:color="auto" w:fill="F0EDEB"/>
        </w:rPr>
        <w:drawing>
          <wp:inline distT="0" distB="0" distL="0" distR="0">
            <wp:extent cx="4381500" cy="228600"/>
            <wp:effectExtent l="19050" t="0" r="0" b="0"/>
            <wp:docPr id="21" name="Picture 21" desc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U"/>
                    <pic:cNvPicPr>
                      <a:picLocks noChangeAspect="1" noChangeArrowheads="1"/>
                    </pic:cNvPicPr>
                  </pic:nvPicPr>
                  <pic:blipFill>
                    <a:blip r:embed="rId30"/>
                    <a:srcRect/>
                    <a:stretch>
                      <a:fillRect/>
                    </a:stretch>
                  </pic:blipFill>
                  <pic:spPr bwMode="auto">
                    <a:xfrm>
                      <a:off x="0" y="0"/>
                      <a:ext cx="4381500" cy="228600"/>
                    </a:xfrm>
                    <a:prstGeom prst="rect">
                      <a:avLst/>
                    </a:prstGeom>
                    <a:noFill/>
                    <a:ln w="9525">
                      <a:noFill/>
                      <a:miter lim="800000"/>
                      <a:headEnd/>
                      <a:tailEnd/>
                    </a:ln>
                  </pic:spPr>
                </pic:pic>
              </a:graphicData>
            </a:graphic>
          </wp:inline>
        </w:drawing>
      </w:r>
    </w:p>
    <w:p w:rsidR="002219CE" w:rsidRPr="002219CE" w:rsidRDefault="002219CE" w:rsidP="002219CE">
      <w:pPr>
        <w:spacing w:before="105" w:after="165" w:line="240" w:lineRule="auto"/>
        <w:ind w:left="330" w:right="270"/>
        <w:rPr>
          <w:rFonts w:ascii="Verdana" w:eastAsia="Times New Roman" w:hAnsi="Verdana" w:cs="Times New Roman"/>
          <w:color w:val="655A41"/>
          <w:sz w:val="18"/>
          <w:szCs w:val="18"/>
        </w:rPr>
      </w:pPr>
      <w:r w:rsidRPr="002219CE">
        <w:rPr>
          <w:rFonts w:ascii="Verdana" w:eastAsia="Times New Roman" w:hAnsi="Verdana" w:cs="Times New Roman"/>
          <w:b/>
          <w:bCs/>
          <w:color w:val="655A41"/>
          <w:sz w:val="20"/>
        </w:rPr>
        <w:t xml:space="preserve">Uncertainty </w:t>
      </w:r>
      <w:r w:rsidRPr="002219CE">
        <w:rPr>
          <w:rFonts w:ascii="Verdana" w:eastAsia="Times New Roman" w:hAnsi="Verdana" w:cs="Times New Roman"/>
          <w:color w:val="655A41"/>
          <w:sz w:val="18"/>
          <w:szCs w:val="18"/>
        </w:rPr>
        <w:br/>
        <w:t xml:space="preserve">Estimates of future performance always entail uncertainty, the inverse of confidence. It is useful to quantify the uncertainty to perform Sensitivity Analysis, demonstrating the possible impacts of different levels of performance. See Sensitivity Analysis. </w:t>
      </w:r>
    </w:p>
    <w:p w:rsidR="002219CE" w:rsidRPr="002219CE" w:rsidRDefault="002219CE" w:rsidP="002219CE">
      <w:pPr>
        <w:spacing w:after="165" w:line="240" w:lineRule="auto"/>
        <w:jc w:val="right"/>
        <w:rPr>
          <w:rFonts w:ascii="Verdana" w:eastAsia="Times New Roman" w:hAnsi="Verdana" w:cs="Times New Roman"/>
          <w:b/>
          <w:bCs/>
          <w:color w:val="506C50"/>
          <w:sz w:val="18"/>
          <w:szCs w:val="18"/>
        </w:rPr>
      </w:pPr>
    </w:p>
    <w:p w:rsidR="002219CE" w:rsidRPr="002219CE" w:rsidRDefault="002219CE" w:rsidP="002219CE">
      <w:pPr>
        <w:spacing w:after="0" w:line="240" w:lineRule="auto"/>
        <w:rPr>
          <w:rFonts w:ascii="Verdana" w:eastAsia="Times New Roman" w:hAnsi="Verdana" w:cs="Times New Roman"/>
          <w:color w:val="655A41"/>
          <w:sz w:val="18"/>
          <w:szCs w:val="18"/>
        </w:rPr>
      </w:pPr>
      <w:bookmarkStart w:id="20" w:name="V"/>
      <w:bookmarkEnd w:id="20"/>
      <w:r>
        <w:rPr>
          <w:rFonts w:ascii="Verdana" w:eastAsia="Times New Roman" w:hAnsi="Verdana" w:cs="Times New Roman"/>
          <w:noProof/>
          <w:color w:val="655A41"/>
          <w:sz w:val="18"/>
          <w:szCs w:val="18"/>
          <w:shd w:val="clear" w:color="auto" w:fill="F0EDEB"/>
        </w:rPr>
        <w:drawing>
          <wp:inline distT="0" distB="0" distL="0" distR="0">
            <wp:extent cx="4381500" cy="228600"/>
            <wp:effectExtent l="19050" t="0" r="0" b="0"/>
            <wp:docPr id="22" name="Picture 22" desc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V"/>
                    <pic:cNvPicPr>
                      <a:picLocks noChangeAspect="1" noChangeArrowheads="1"/>
                    </pic:cNvPicPr>
                  </pic:nvPicPr>
                  <pic:blipFill>
                    <a:blip r:embed="rId31"/>
                    <a:srcRect/>
                    <a:stretch>
                      <a:fillRect/>
                    </a:stretch>
                  </pic:blipFill>
                  <pic:spPr bwMode="auto">
                    <a:xfrm>
                      <a:off x="0" y="0"/>
                      <a:ext cx="4381500" cy="228600"/>
                    </a:xfrm>
                    <a:prstGeom prst="rect">
                      <a:avLst/>
                    </a:prstGeom>
                    <a:noFill/>
                    <a:ln w="9525">
                      <a:noFill/>
                      <a:miter lim="800000"/>
                      <a:headEnd/>
                      <a:tailEnd/>
                    </a:ln>
                  </pic:spPr>
                </pic:pic>
              </a:graphicData>
            </a:graphic>
          </wp:inline>
        </w:drawing>
      </w:r>
    </w:p>
    <w:p w:rsidR="002219CE" w:rsidRPr="002219CE" w:rsidRDefault="002219CE" w:rsidP="002219CE">
      <w:pPr>
        <w:spacing w:before="105" w:after="165" w:line="240" w:lineRule="auto"/>
        <w:ind w:left="330" w:right="270"/>
        <w:rPr>
          <w:rFonts w:ascii="Verdana" w:eastAsia="Times New Roman" w:hAnsi="Verdana" w:cs="Times New Roman"/>
          <w:color w:val="655A41"/>
          <w:sz w:val="18"/>
          <w:szCs w:val="18"/>
        </w:rPr>
      </w:pPr>
      <w:r w:rsidRPr="002219CE">
        <w:rPr>
          <w:rFonts w:ascii="Verdana" w:eastAsia="Times New Roman" w:hAnsi="Verdana" w:cs="Times New Roman"/>
          <w:b/>
          <w:bCs/>
          <w:color w:val="655A41"/>
          <w:sz w:val="20"/>
        </w:rPr>
        <w:t>Value Added / Non-Value Added</w:t>
      </w:r>
      <w:r w:rsidRPr="002219CE">
        <w:rPr>
          <w:rFonts w:ascii="Verdana" w:eastAsia="Times New Roman" w:hAnsi="Verdana" w:cs="Times New Roman"/>
          <w:color w:val="655A41"/>
          <w:sz w:val="18"/>
          <w:szCs w:val="18"/>
        </w:rPr>
        <w:br/>
      </w:r>
      <w:proofErr w:type="gramStart"/>
      <w:r w:rsidRPr="002219CE">
        <w:rPr>
          <w:rFonts w:ascii="Verdana" w:eastAsia="Times New Roman" w:hAnsi="Verdana" w:cs="Times New Roman"/>
          <w:color w:val="655A41"/>
          <w:sz w:val="18"/>
          <w:szCs w:val="18"/>
        </w:rPr>
        <w:t>Often</w:t>
      </w:r>
      <w:proofErr w:type="gramEnd"/>
      <w:r w:rsidRPr="002219CE">
        <w:rPr>
          <w:rFonts w:ascii="Verdana" w:eastAsia="Times New Roman" w:hAnsi="Verdana" w:cs="Times New Roman"/>
          <w:color w:val="655A41"/>
          <w:sz w:val="18"/>
          <w:szCs w:val="18"/>
        </w:rPr>
        <w:t xml:space="preserve"> used to distinguish between activities that directly add value to a product (such as assembly labor) from activities that support product manufacturing.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proofErr w:type="gramStart"/>
      <w:r w:rsidRPr="002219CE">
        <w:rPr>
          <w:rFonts w:ascii="Verdana" w:eastAsia="Times New Roman" w:hAnsi="Verdana" w:cs="Times New Roman"/>
          <w:b/>
          <w:bCs/>
          <w:color w:val="655A41"/>
          <w:sz w:val="20"/>
        </w:rPr>
        <w:t>Variable Cost</w:t>
      </w:r>
      <w:r w:rsidRPr="002219CE">
        <w:rPr>
          <w:rFonts w:ascii="Verdana" w:eastAsia="Times New Roman" w:hAnsi="Verdana" w:cs="Times New Roman"/>
          <w:color w:val="655A41"/>
          <w:sz w:val="18"/>
          <w:szCs w:val="18"/>
        </w:rPr>
        <w:br/>
        <w:t>Cost that varies with sales volume.</w:t>
      </w:r>
      <w:proofErr w:type="gramEnd"/>
      <w:r w:rsidRPr="002219CE">
        <w:rPr>
          <w:rFonts w:ascii="Verdana" w:eastAsia="Times New Roman" w:hAnsi="Verdana" w:cs="Times New Roman"/>
          <w:color w:val="655A41"/>
          <w:sz w:val="18"/>
          <w:szCs w:val="18"/>
        </w:rPr>
        <w:t xml:space="preserve"> </w:t>
      </w:r>
    </w:p>
    <w:p w:rsidR="002219CE" w:rsidRPr="002219CE" w:rsidRDefault="002219CE" w:rsidP="002219CE">
      <w:pPr>
        <w:spacing w:after="165" w:line="240" w:lineRule="auto"/>
        <w:jc w:val="right"/>
        <w:rPr>
          <w:rFonts w:ascii="Verdana" w:eastAsia="Times New Roman" w:hAnsi="Verdana" w:cs="Times New Roman"/>
          <w:b/>
          <w:bCs/>
          <w:color w:val="506C50"/>
          <w:sz w:val="18"/>
          <w:szCs w:val="18"/>
        </w:rPr>
      </w:pPr>
    </w:p>
    <w:p w:rsidR="002219CE" w:rsidRPr="002219CE" w:rsidRDefault="002219CE" w:rsidP="002219CE">
      <w:pPr>
        <w:spacing w:after="0" w:line="240" w:lineRule="auto"/>
        <w:rPr>
          <w:rFonts w:ascii="Verdana" w:eastAsia="Times New Roman" w:hAnsi="Verdana" w:cs="Times New Roman"/>
          <w:color w:val="655A41"/>
          <w:sz w:val="18"/>
          <w:szCs w:val="18"/>
        </w:rPr>
      </w:pPr>
      <w:bookmarkStart w:id="21" w:name="W"/>
      <w:bookmarkEnd w:id="21"/>
      <w:r>
        <w:rPr>
          <w:rFonts w:ascii="Verdana" w:eastAsia="Times New Roman" w:hAnsi="Verdana" w:cs="Times New Roman"/>
          <w:noProof/>
          <w:color w:val="655A41"/>
          <w:sz w:val="18"/>
          <w:szCs w:val="18"/>
          <w:shd w:val="clear" w:color="auto" w:fill="F0EDEB"/>
        </w:rPr>
        <w:drawing>
          <wp:inline distT="0" distB="0" distL="0" distR="0">
            <wp:extent cx="4381500" cy="228600"/>
            <wp:effectExtent l="19050" t="0" r="0" b="0"/>
            <wp:docPr id="23" name="Picture 23" desc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W"/>
                    <pic:cNvPicPr>
                      <a:picLocks noChangeAspect="1" noChangeArrowheads="1"/>
                    </pic:cNvPicPr>
                  </pic:nvPicPr>
                  <pic:blipFill>
                    <a:blip r:embed="rId32"/>
                    <a:srcRect/>
                    <a:stretch>
                      <a:fillRect/>
                    </a:stretch>
                  </pic:blipFill>
                  <pic:spPr bwMode="auto">
                    <a:xfrm>
                      <a:off x="0" y="0"/>
                      <a:ext cx="4381500" cy="228600"/>
                    </a:xfrm>
                    <a:prstGeom prst="rect">
                      <a:avLst/>
                    </a:prstGeom>
                    <a:noFill/>
                    <a:ln w="9525">
                      <a:noFill/>
                      <a:miter lim="800000"/>
                      <a:headEnd/>
                      <a:tailEnd/>
                    </a:ln>
                  </pic:spPr>
                </pic:pic>
              </a:graphicData>
            </a:graphic>
          </wp:inline>
        </w:drawing>
      </w:r>
    </w:p>
    <w:p w:rsidR="002219CE" w:rsidRPr="002219CE" w:rsidRDefault="002219CE" w:rsidP="002219CE">
      <w:pPr>
        <w:spacing w:before="105" w:after="165" w:line="240" w:lineRule="auto"/>
        <w:ind w:left="330" w:right="270"/>
        <w:rPr>
          <w:rFonts w:ascii="Verdana" w:eastAsia="Times New Roman" w:hAnsi="Verdana" w:cs="Times New Roman"/>
          <w:color w:val="655A41"/>
          <w:sz w:val="18"/>
          <w:szCs w:val="18"/>
        </w:rPr>
      </w:pPr>
      <w:r w:rsidRPr="002219CE">
        <w:rPr>
          <w:rFonts w:ascii="Verdana" w:eastAsia="Times New Roman" w:hAnsi="Verdana" w:cs="Times New Roman"/>
          <w:b/>
          <w:bCs/>
          <w:color w:val="655A41"/>
          <w:sz w:val="20"/>
        </w:rPr>
        <w:t>Waste Activities</w:t>
      </w:r>
      <w:r w:rsidRPr="002219CE">
        <w:rPr>
          <w:rFonts w:ascii="Verdana" w:eastAsia="Times New Roman" w:hAnsi="Verdana" w:cs="Times New Roman"/>
          <w:color w:val="655A41"/>
          <w:sz w:val="18"/>
          <w:szCs w:val="18"/>
        </w:rPr>
        <w:br/>
      </w:r>
      <w:proofErr w:type="gramStart"/>
      <w:r w:rsidRPr="002219CE">
        <w:rPr>
          <w:rFonts w:ascii="Verdana" w:eastAsia="Times New Roman" w:hAnsi="Verdana" w:cs="Times New Roman"/>
          <w:color w:val="655A41"/>
          <w:sz w:val="18"/>
          <w:szCs w:val="18"/>
        </w:rPr>
        <w:t>In</w:t>
      </w:r>
      <w:proofErr w:type="gramEnd"/>
      <w:r w:rsidRPr="002219CE">
        <w:rPr>
          <w:rFonts w:ascii="Verdana" w:eastAsia="Times New Roman" w:hAnsi="Verdana" w:cs="Times New Roman"/>
          <w:color w:val="655A41"/>
          <w:sz w:val="18"/>
          <w:szCs w:val="18"/>
        </w:rPr>
        <w:t xml:space="preserve"> the lean operations environment, waste is any unnecessary work. </w:t>
      </w:r>
      <w:r w:rsidRPr="002219CE">
        <w:rPr>
          <w:rFonts w:ascii="Verdana" w:eastAsia="Times New Roman" w:hAnsi="Verdana" w:cs="Times New Roman"/>
          <w:color w:val="655A41"/>
          <w:sz w:val="18"/>
          <w:szCs w:val="18"/>
        </w:rPr>
        <w:br/>
      </w:r>
      <w:r w:rsidRPr="002219CE">
        <w:rPr>
          <w:rFonts w:ascii="Verdana" w:eastAsia="Times New Roman" w:hAnsi="Verdana" w:cs="Times New Roman"/>
          <w:color w:val="655A41"/>
          <w:sz w:val="18"/>
          <w:szCs w:val="18"/>
        </w:rPr>
        <w:br/>
      </w:r>
      <w:r w:rsidRPr="002219CE">
        <w:rPr>
          <w:rFonts w:ascii="Verdana" w:eastAsia="Times New Roman" w:hAnsi="Verdana" w:cs="Times New Roman"/>
          <w:b/>
          <w:bCs/>
          <w:color w:val="655A41"/>
          <w:sz w:val="20"/>
        </w:rPr>
        <w:t>Working Capital</w:t>
      </w:r>
      <w:r w:rsidRPr="002219CE">
        <w:rPr>
          <w:rFonts w:ascii="Verdana" w:eastAsia="Times New Roman" w:hAnsi="Verdana" w:cs="Times New Roman"/>
          <w:color w:val="655A41"/>
          <w:sz w:val="18"/>
          <w:szCs w:val="18"/>
        </w:rPr>
        <w:br/>
        <w:t xml:space="preserve">Capital tied up in Cash, Accounts Receivable and Inventories, less Accounts Payable. </w:t>
      </w:r>
    </w:p>
    <w:p w:rsidR="002219CE" w:rsidRPr="002219CE" w:rsidRDefault="002219CE" w:rsidP="002219CE">
      <w:pPr>
        <w:spacing w:after="0" w:line="240" w:lineRule="auto"/>
        <w:rPr>
          <w:rFonts w:ascii="Verdana" w:eastAsia="Times New Roman" w:hAnsi="Verdana" w:cs="Times New Roman"/>
          <w:color w:val="655A41"/>
          <w:sz w:val="18"/>
          <w:szCs w:val="18"/>
        </w:rPr>
      </w:pPr>
      <w:bookmarkStart w:id="22" w:name="X"/>
      <w:bookmarkEnd w:id="22"/>
      <w:r>
        <w:rPr>
          <w:rFonts w:ascii="Verdana" w:eastAsia="Times New Roman" w:hAnsi="Verdana" w:cs="Times New Roman"/>
          <w:noProof/>
          <w:color w:val="655A41"/>
          <w:sz w:val="18"/>
          <w:szCs w:val="18"/>
          <w:shd w:val="clear" w:color="auto" w:fill="F0EDEB"/>
        </w:rPr>
        <w:drawing>
          <wp:inline distT="0" distB="0" distL="0" distR="0">
            <wp:extent cx="4381500" cy="228600"/>
            <wp:effectExtent l="19050" t="0" r="0" b="0"/>
            <wp:docPr id="24" name="Picture 24"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X"/>
                    <pic:cNvPicPr>
                      <a:picLocks noChangeAspect="1" noChangeArrowheads="1"/>
                    </pic:cNvPicPr>
                  </pic:nvPicPr>
                  <pic:blipFill>
                    <a:blip r:embed="rId33"/>
                    <a:srcRect/>
                    <a:stretch>
                      <a:fillRect/>
                    </a:stretch>
                  </pic:blipFill>
                  <pic:spPr bwMode="auto">
                    <a:xfrm>
                      <a:off x="0" y="0"/>
                      <a:ext cx="4381500" cy="228600"/>
                    </a:xfrm>
                    <a:prstGeom prst="rect">
                      <a:avLst/>
                    </a:prstGeom>
                    <a:noFill/>
                    <a:ln w="9525">
                      <a:noFill/>
                      <a:miter lim="800000"/>
                      <a:headEnd/>
                      <a:tailEnd/>
                    </a:ln>
                  </pic:spPr>
                </pic:pic>
              </a:graphicData>
            </a:graphic>
          </wp:inline>
        </w:drawing>
      </w:r>
    </w:p>
    <w:p w:rsidR="002219CE" w:rsidRPr="002219CE" w:rsidRDefault="002219CE" w:rsidP="002219CE">
      <w:pPr>
        <w:spacing w:after="0" w:line="240" w:lineRule="auto"/>
        <w:rPr>
          <w:rFonts w:ascii="Verdana" w:eastAsia="Times New Roman" w:hAnsi="Verdana" w:cs="Times New Roman"/>
          <w:color w:val="655A41"/>
          <w:sz w:val="18"/>
          <w:szCs w:val="18"/>
        </w:rPr>
      </w:pPr>
      <w:bookmarkStart w:id="23" w:name="Y"/>
      <w:bookmarkEnd w:id="23"/>
      <w:r>
        <w:rPr>
          <w:rFonts w:ascii="Verdana" w:eastAsia="Times New Roman" w:hAnsi="Verdana" w:cs="Times New Roman"/>
          <w:noProof/>
          <w:color w:val="655A41"/>
          <w:sz w:val="18"/>
          <w:szCs w:val="18"/>
          <w:shd w:val="clear" w:color="auto" w:fill="F0EDEB"/>
        </w:rPr>
        <w:drawing>
          <wp:inline distT="0" distB="0" distL="0" distR="0">
            <wp:extent cx="4381500" cy="228600"/>
            <wp:effectExtent l="19050" t="0" r="0" b="0"/>
            <wp:docPr id="25" name="Picture 25" desc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Y"/>
                    <pic:cNvPicPr>
                      <a:picLocks noChangeAspect="1" noChangeArrowheads="1"/>
                    </pic:cNvPicPr>
                  </pic:nvPicPr>
                  <pic:blipFill>
                    <a:blip r:embed="rId34"/>
                    <a:srcRect/>
                    <a:stretch>
                      <a:fillRect/>
                    </a:stretch>
                  </pic:blipFill>
                  <pic:spPr bwMode="auto">
                    <a:xfrm>
                      <a:off x="0" y="0"/>
                      <a:ext cx="4381500" cy="228600"/>
                    </a:xfrm>
                    <a:prstGeom prst="rect">
                      <a:avLst/>
                    </a:prstGeom>
                    <a:noFill/>
                    <a:ln w="9525">
                      <a:noFill/>
                      <a:miter lim="800000"/>
                      <a:headEnd/>
                      <a:tailEnd/>
                    </a:ln>
                  </pic:spPr>
                </pic:pic>
              </a:graphicData>
            </a:graphic>
          </wp:inline>
        </w:drawing>
      </w:r>
    </w:p>
    <w:p w:rsidR="002219CE" w:rsidRPr="002219CE" w:rsidRDefault="002219CE" w:rsidP="002219CE">
      <w:pPr>
        <w:spacing w:after="0" w:line="240" w:lineRule="auto"/>
        <w:rPr>
          <w:rFonts w:ascii="Verdana" w:eastAsia="Times New Roman" w:hAnsi="Verdana" w:cs="Times New Roman"/>
          <w:color w:val="655A41"/>
          <w:sz w:val="18"/>
          <w:szCs w:val="18"/>
        </w:rPr>
      </w:pPr>
      <w:bookmarkStart w:id="24" w:name="Z"/>
      <w:bookmarkEnd w:id="24"/>
      <w:r>
        <w:rPr>
          <w:rFonts w:ascii="Verdana" w:eastAsia="Times New Roman" w:hAnsi="Verdana" w:cs="Times New Roman"/>
          <w:noProof/>
          <w:color w:val="655A41"/>
          <w:sz w:val="18"/>
          <w:szCs w:val="18"/>
          <w:shd w:val="clear" w:color="auto" w:fill="F0EDEB"/>
        </w:rPr>
        <w:drawing>
          <wp:inline distT="0" distB="0" distL="0" distR="0">
            <wp:extent cx="4381500" cy="228600"/>
            <wp:effectExtent l="19050" t="0" r="0" b="0"/>
            <wp:docPr id="26" name="Picture 26" desc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Z"/>
                    <pic:cNvPicPr>
                      <a:picLocks noChangeAspect="1" noChangeArrowheads="1"/>
                    </pic:cNvPicPr>
                  </pic:nvPicPr>
                  <pic:blipFill>
                    <a:blip r:embed="rId35"/>
                    <a:srcRect/>
                    <a:stretch>
                      <a:fillRect/>
                    </a:stretch>
                  </pic:blipFill>
                  <pic:spPr bwMode="auto">
                    <a:xfrm>
                      <a:off x="0" y="0"/>
                      <a:ext cx="4381500" cy="228600"/>
                    </a:xfrm>
                    <a:prstGeom prst="rect">
                      <a:avLst/>
                    </a:prstGeom>
                    <a:noFill/>
                    <a:ln w="9525">
                      <a:noFill/>
                      <a:miter lim="800000"/>
                      <a:headEnd/>
                      <a:tailEnd/>
                    </a:ln>
                  </pic:spPr>
                </pic:pic>
              </a:graphicData>
            </a:graphic>
          </wp:inline>
        </w:drawing>
      </w:r>
    </w:p>
    <w:p w:rsidR="00A664EA" w:rsidRPr="002219CE" w:rsidRDefault="002219CE" w:rsidP="002219CE">
      <w:pPr>
        <w:spacing w:before="105" w:after="165" w:line="240" w:lineRule="auto"/>
        <w:ind w:left="330" w:right="270"/>
        <w:rPr>
          <w:rFonts w:ascii="Verdana" w:eastAsia="Times New Roman" w:hAnsi="Verdana" w:cs="Times New Roman"/>
          <w:color w:val="655A41"/>
          <w:sz w:val="18"/>
          <w:szCs w:val="18"/>
        </w:rPr>
      </w:pPr>
      <w:r w:rsidRPr="002219CE">
        <w:rPr>
          <w:rFonts w:ascii="Verdana" w:eastAsia="Times New Roman" w:hAnsi="Verdana" w:cs="Times New Roman"/>
          <w:b/>
          <w:bCs/>
          <w:color w:val="655A41"/>
          <w:sz w:val="20"/>
        </w:rPr>
        <w:t>Zero-based Budgets</w:t>
      </w:r>
      <w:r w:rsidRPr="002219CE">
        <w:rPr>
          <w:rFonts w:ascii="Verdana" w:eastAsia="Times New Roman" w:hAnsi="Verdana" w:cs="Times New Roman"/>
          <w:color w:val="655A41"/>
          <w:sz w:val="18"/>
          <w:szCs w:val="18"/>
        </w:rPr>
        <w:br/>
        <w:t xml:space="preserve">Budgets built from scratch, replacing justification based on historical spending with justification based on requirements of current value-adding activities. </w:t>
      </w:r>
    </w:p>
    <w:sectPr w:rsidR="00A664EA" w:rsidRPr="002219C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50729A"/>
    <w:multiLevelType w:val="multilevel"/>
    <w:tmpl w:val="6EA8C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2219CE"/>
    <w:rsid w:val="002219CE"/>
    <w:rsid w:val="00A664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219CE"/>
    <w:rPr>
      <w:color w:val="506C50"/>
      <w:u w:val="single"/>
    </w:rPr>
  </w:style>
  <w:style w:type="paragraph" w:styleId="NormalWeb">
    <w:name w:val="Normal (Web)"/>
    <w:basedOn w:val="Normal"/>
    <w:uiPriority w:val="99"/>
    <w:semiHidden/>
    <w:unhideWhenUsed/>
    <w:rsid w:val="002219CE"/>
    <w:pPr>
      <w:spacing w:before="105" w:after="165" w:line="240" w:lineRule="auto"/>
      <w:ind w:left="330" w:right="270"/>
    </w:pPr>
    <w:rPr>
      <w:rFonts w:ascii="Verdana" w:eastAsia="Times New Roman" w:hAnsi="Verdana" w:cs="Times New Roman"/>
      <w:color w:val="655A41"/>
      <w:sz w:val="18"/>
      <w:szCs w:val="18"/>
    </w:rPr>
  </w:style>
  <w:style w:type="character" w:customStyle="1" w:styleId="subheading1">
    <w:name w:val="subheading1"/>
    <w:basedOn w:val="DefaultParagraphFont"/>
    <w:rsid w:val="002219CE"/>
    <w:rPr>
      <w:b/>
      <w:bCs/>
      <w:sz w:val="20"/>
      <w:szCs w:val="20"/>
    </w:rPr>
  </w:style>
  <w:style w:type="paragraph" w:styleId="BalloonText">
    <w:name w:val="Balloon Text"/>
    <w:basedOn w:val="Normal"/>
    <w:link w:val="BalloonTextChar"/>
    <w:uiPriority w:val="99"/>
    <w:semiHidden/>
    <w:unhideWhenUsed/>
    <w:rsid w:val="002219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19C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2668267">
      <w:bodyDiv w:val="1"/>
      <w:marLeft w:val="0"/>
      <w:marRight w:val="0"/>
      <w:marTop w:val="0"/>
      <w:marBottom w:val="0"/>
      <w:divBdr>
        <w:top w:val="none" w:sz="0" w:space="0" w:color="auto"/>
        <w:left w:val="none" w:sz="0" w:space="0" w:color="auto"/>
        <w:bottom w:val="none" w:sz="0" w:space="0" w:color="auto"/>
        <w:right w:val="none" w:sz="0" w:space="0" w:color="auto"/>
      </w:divBdr>
      <w:divsChild>
        <w:div w:id="545408546">
          <w:marLeft w:val="330"/>
          <w:marRight w:val="270"/>
          <w:marTop w:val="105"/>
          <w:marBottom w:val="165"/>
          <w:divBdr>
            <w:top w:val="none" w:sz="0" w:space="0" w:color="auto"/>
            <w:left w:val="none" w:sz="0" w:space="0" w:color="auto"/>
            <w:bottom w:val="none" w:sz="0" w:space="0" w:color="auto"/>
            <w:right w:val="none" w:sz="0" w:space="0" w:color="auto"/>
          </w:divBdr>
        </w:div>
        <w:div w:id="635716646">
          <w:marLeft w:val="330"/>
          <w:marRight w:val="270"/>
          <w:marTop w:val="105"/>
          <w:marBottom w:val="165"/>
          <w:divBdr>
            <w:top w:val="none" w:sz="0" w:space="0" w:color="auto"/>
            <w:left w:val="none" w:sz="0" w:space="0" w:color="auto"/>
            <w:bottom w:val="none" w:sz="0" w:space="0" w:color="auto"/>
            <w:right w:val="none" w:sz="0" w:space="0" w:color="auto"/>
          </w:divBdr>
        </w:div>
        <w:div w:id="157384028">
          <w:marLeft w:val="330"/>
          <w:marRight w:val="270"/>
          <w:marTop w:val="105"/>
          <w:marBottom w:val="165"/>
          <w:divBdr>
            <w:top w:val="none" w:sz="0" w:space="0" w:color="auto"/>
            <w:left w:val="none" w:sz="0" w:space="0" w:color="auto"/>
            <w:bottom w:val="none" w:sz="0" w:space="0" w:color="auto"/>
            <w:right w:val="none" w:sz="0" w:space="0" w:color="auto"/>
          </w:divBdr>
        </w:div>
        <w:div w:id="1758598060">
          <w:marLeft w:val="330"/>
          <w:marRight w:val="270"/>
          <w:marTop w:val="105"/>
          <w:marBottom w:val="165"/>
          <w:divBdr>
            <w:top w:val="none" w:sz="0" w:space="0" w:color="auto"/>
            <w:left w:val="none" w:sz="0" w:space="0" w:color="auto"/>
            <w:bottom w:val="none" w:sz="0" w:space="0" w:color="auto"/>
            <w:right w:val="none" w:sz="0" w:space="0" w:color="auto"/>
          </w:divBdr>
        </w:div>
        <w:div w:id="740837344">
          <w:marLeft w:val="330"/>
          <w:marRight w:val="270"/>
          <w:marTop w:val="105"/>
          <w:marBottom w:val="165"/>
          <w:divBdr>
            <w:top w:val="none" w:sz="0" w:space="0" w:color="auto"/>
            <w:left w:val="none" w:sz="0" w:space="0" w:color="auto"/>
            <w:bottom w:val="none" w:sz="0" w:space="0" w:color="auto"/>
            <w:right w:val="none" w:sz="0" w:space="0" w:color="auto"/>
          </w:divBdr>
        </w:div>
        <w:div w:id="69235138">
          <w:marLeft w:val="330"/>
          <w:marRight w:val="270"/>
          <w:marTop w:val="105"/>
          <w:marBottom w:val="165"/>
          <w:divBdr>
            <w:top w:val="none" w:sz="0" w:space="0" w:color="auto"/>
            <w:left w:val="none" w:sz="0" w:space="0" w:color="auto"/>
            <w:bottom w:val="none" w:sz="0" w:space="0" w:color="auto"/>
            <w:right w:val="none" w:sz="0" w:space="0" w:color="auto"/>
          </w:divBdr>
        </w:div>
        <w:div w:id="1457213020">
          <w:marLeft w:val="330"/>
          <w:marRight w:val="270"/>
          <w:marTop w:val="105"/>
          <w:marBottom w:val="165"/>
          <w:divBdr>
            <w:top w:val="none" w:sz="0" w:space="0" w:color="auto"/>
            <w:left w:val="none" w:sz="0" w:space="0" w:color="auto"/>
            <w:bottom w:val="none" w:sz="0" w:space="0" w:color="auto"/>
            <w:right w:val="none" w:sz="0" w:space="0" w:color="auto"/>
          </w:divBdr>
        </w:div>
        <w:div w:id="1117408506">
          <w:marLeft w:val="330"/>
          <w:marRight w:val="270"/>
          <w:marTop w:val="105"/>
          <w:marBottom w:val="165"/>
          <w:divBdr>
            <w:top w:val="none" w:sz="0" w:space="0" w:color="auto"/>
            <w:left w:val="none" w:sz="0" w:space="0" w:color="auto"/>
            <w:bottom w:val="none" w:sz="0" w:space="0" w:color="auto"/>
            <w:right w:val="none" w:sz="0" w:space="0" w:color="auto"/>
          </w:divBdr>
        </w:div>
        <w:div w:id="655569695">
          <w:marLeft w:val="330"/>
          <w:marRight w:val="270"/>
          <w:marTop w:val="105"/>
          <w:marBottom w:val="165"/>
          <w:divBdr>
            <w:top w:val="none" w:sz="0" w:space="0" w:color="auto"/>
            <w:left w:val="none" w:sz="0" w:space="0" w:color="auto"/>
            <w:bottom w:val="none" w:sz="0" w:space="0" w:color="auto"/>
            <w:right w:val="none" w:sz="0" w:space="0" w:color="auto"/>
          </w:divBdr>
        </w:div>
        <w:div w:id="1397360966">
          <w:marLeft w:val="330"/>
          <w:marRight w:val="270"/>
          <w:marTop w:val="105"/>
          <w:marBottom w:val="165"/>
          <w:divBdr>
            <w:top w:val="none" w:sz="0" w:space="0" w:color="auto"/>
            <w:left w:val="none" w:sz="0" w:space="0" w:color="auto"/>
            <w:bottom w:val="none" w:sz="0" w:space="0" w:color="auto"/>
            <w:right w:val="none" w:sz="0" w:space="0" w:color="auto"/>
          </w:divBdr>
        </w:div>
        <w:div w:id="1350375069">
          <w:marLeft w:val="330"/>
          <w:marRight w:val="270"/>
          <w:marTop w:val="105"/>
          <w:marBottom w:val="165"/>
          <w:divBdr>
            <w:top w:val="none" w:sz="0" w:space="0" w:color="auto"/>
            <w:left w:val="none" w:sz="0" w:space="0" w:color="auto"/>
            <w:bottom w:val="none" w:sz="0" w:space="0" w:color="auto"/>
            <w:right w:val="none" w:sz="0" w:space="0" w:color="auto"/>
          </w:divBdr>
        </w:div>
        <w:div w:id="526673378">
          <w:marLeft w:val="330"/>
          <w:marRight w:val="270"/>
          <w:marTop w:val="105"/>
          <w:marBottom w:val="165"/>
          <w:divBdr>
            <w:top w:val="none" w:sz="0" w:space="0" w:color="auto"/>
            <w:left w:val="none" w:sz="0" w:space="0" w:color="auto"/>
            <w:bottom w:val="none" w:sz="0" w:space="0" w:color="auto"/>
            <w:right w:val="none" w:sz="0" w:space="0" w:color="auto"/>
          </w:divBdr>
        </w:div>
        <w:div w:id="673411330">
          <w:marLeft w:val="330"/>
          <w:marRight w:val="270"/>
          <w:marTop w:val="105"/>
          <w:marBottom w:val="165"/>
          <w:divBdr>
            <w:top w:val="none" w:sz="0" w:space="0" w:color="auto"/>
            <w:left w:val="none" w:sz="0" w:space="0" w:color="auto"/>
            <w:bottom w:val="none" w:sz="0" w:space="0" w:color="auto"/>
            <w:right w:val="none" w:sz="0" w:space="0" w:color="auto"/>
          </w:divBdr>
        </w:div>
        <w:div w:id="1904872663">
          <w:marLeft w:val="330"/>
          <w:marRight w:val="270"/>
          <w:marTop w:val="105"/>
          <w:marBottom w:val="165"/>
          <w:divBdr>
            <w:top w:val="none" w:sz="0" w:space="0" w:color="auto"/>
            <w:left w:val="none" w:sz="0" w:space="0" w:color="auto"/>
            <w:bottom w:val="none" w:sz="0" w:space="0" w:color="auto"/>
            <w:right w:val="none" w:sz="0" w:space="0" w:color="auto"/>
          </w:divBdr>
        </w:div>
        <w:div w:id="230971696">
          <w:marLeft w:val="330"/>
          <w:marRight w:val="270"/>
          <w:marTop w:val="105"/>
          <w:marBottom w:val="165"/>
          <w:divBdr>
            <w:top w:val="none" w:sz="0" w:space="0" w:color="auto"/>
            <w:left w:val="none" w:sz="0" w:space="0" w:color="auto"/>
            <w:bottom w:val="none" w:sz="0" w:space="0" w:color="auto"/>
            <w:right w:val="none" w:sz="0" w:space="0" w:color="auto"/>
          </w:divBdr>
        </w:div>
        <w:div w:id="699597358">
          <w:marLeft w:val="330"/>
          <w:marRight w:val="270"/>
          <w:marTop w:val="105"/>
          <w:marBottom w:val="165"/>
          <w:divBdr>
            <w:top w:val="none" w:sz="0" w:space="0" w:color="auto"/>
            <w:left w:val="none" w:sz="0" w:space="0" w:color="auto"/>
            <w:bottom w:val="none" w:sz="0" w:space="0" w:color="auto"/>
            <w:right w:val="none" w:sz="0" w:space="0" w:color="auto"/>
          </w:divBdr>
        </w:div>
        <w:div w:id="527180636">
          <w:marLeft w:val="330"/>
          <w:marRight w:val="270"/>
          <w:marTop w:val="105"/>
          <w:marBottom w:val="165"/>
          <w:divBdr>
            <w:top w:val="none" w:sz="0" w:space="0" w:color="auto"/>
            <w:left w:val="none" w:sz="0" w:space="0" w:color="auto"/>
            <w:bottom w:val="none" w:sz="0" w:space="0" w:color="auto"/>
            <w:right w:val="none" w:sz="0" w:space="0" w:color="auto"/>
          </w:divBdr>
        </w:div>
        <w:div w:id="560751587">
          <w:marLeft w:val="330"/>
          <w:marRight w:val="270"/>
          <w:marTop w:val="105"/>
          <w:marBottom w:val="165"/>
          <w:divBdr>
            <w:top w:val="none" w:sz="0" w:space="0" w:color="auto"/>
            <w:left w:val="none" w:sz="0" w:space="0" w:color="auto"/>
            <w:bottom w:val="none" w:sz="0" w:space="0" w:color="auto"/>
            <w:right w:val="none" w:sz="0" w:space="0" w:color="auto"/>
          </w:divBdr>
        </w:div>
        <w:div w:id="545147378">
          <w:marLeft w:val="330"/>
          <w:marRight w:val="270"/>
          <w:marTop w:val="105"/>
          <w:marBottom w:val="165"/>
          <w:divBdr>
            <w:top w:val="none" w:sz="0" w:space="0" w:color="auto"/>
            <w:left w:val="none" w:sz="0" w:space="0" w:color="auto"/>
            <w:bottom w:val="none" w:sz="0" w:space="0" w:color="auto"/>
            <w:right w:val="none" w:sz="0" w:space="0" w:color="auto"/>
          </w:divBdr>
        </w:div>
        <w:div w:id="1526365989">
          <w:marLeft w:val="330"/>
          <w:marRight w:val="270"/>
          <w:marTop w:val="105"/>
          <w:marBottom w:val="165"/>
          <w:divBdr>
            <w:top w:val="none" w:sz="0" w:space="0" w:color="auto"/>
            <w:left w:val="none" w:sz="0" w:space="0" w:color="auto"/>
            <w:bottom w:val="none" w:sz="0" w:space="0" w:color="auto"/>
            <w:right w:val="none" w:sz="0" w:space="0" w:color="auto"/>
          </w:divBdr>
        </w:div>
        <w:div w:id="1610240558">
          <w:marLeft w:val="330"/>
          <w:marRight w:val="270"/>
          <w:marTop w:val="105"/>
          <w:marBottom w:val="165"/>
          <w:divBdr>
            <w:top w:val="none" w:sz="0" w:space="0" w:color="auto"/>
            <w:left w:val="none" w:sz="0" w:space="0" w:color="auto"/>
            <w:bottom w:val="none" w:sz="0" w:space="0" w:color="auto"/>
            <w:right w:val="none" w:sz="0" w:space="0" w:color="auto"/>
          </w:divBdr>
        </w:div>
        <w:div w:id="1173453572">
          <w:marLeft w:val="330"/>
          <w:marRight w:val="270"/>
          <w:marTop w:val="105"/>
          <w:marBottom w:val="165"/>
          <w:divBdr>
            <w:top w:val="none" w:sz="0" w:space="0" w:color="auto"/>
            <w:left w:val="none" w:sz="0" w:space="0" w:color="auto"/>
            <w:bottom w:val="none" w:sz="0" w:space="0" w:color="auto"/>
            <w:right w:val="none" w:sz="0" w:space="0" w:color="auto"/>
          </w:divBdr>
        </w:div>
        <w:div w:id="1693844554">
          <w:marLeft w:val="330"/>
          <w:marRight w:val="270"/>
          <w:marTop w:val="105"/>
          <w:marBottom w:val="165"/>
          <w:divBdr>
            <w:top w:val="none" w:sz="0" w:space="0" w:color="auto"/>
            <w:left w:val="none" w:sz="0" w:space="0" w:color="auto"/>
            <w:bottom w:val="none" w:sz="0" w:space="0" w:color="auto"/>
            <w:right w:val="none" w:sz="0" w:space="0" w:color="auto"/>
          </w:divBdr>
        </w:div>
        <w:div w:id="429161185">
          <w:marLeft w:val="330"/>
          <w:marRight w:val="270"/>
          <w:marTop w:val="105"/>
          <w:marBottom w:val="165"/>
          <w:divBdr>
            <w:top w:val="none" w:sz="0" w:space="0" w:color="auto"/>
            <w:left w:val="none" w:sz="0" w:space="0" w:color="auto"/>
            <w:bottom w:val="none" w:sz="0" w:space="0" w:color="auto"/>
            <w:right w:val="none" w:sz="0" w:space="0" w:color="auto"/>
          </w:divBdr>
        </w:div>
        <w:div w:id="1102070884">
          <w:marLeft w:val="330"/>
          <w:marRight w:val="270"/>
          <w:marTop w:val="105"/>
          <w:marBottom w:val="165"/>
          <w:divBdr>
            <w:top w:val="none" w:sz="0" w:space="0" w:color="auto"/>
            <w:left w:val="none" w:sz="0" w:space="0" w:color="auto"/>
            <w:bottom w:val="none" w:sz="0" w:space="0" w:color="auto"/>
            <w:right w:val="none" w:sz="0" w:space="0" w:color="auto"/>
          </w:divBdr>
        </w:div>
        <w:div w:id="992295451">
          <w:marLeft w:val="330"/>
          <w:marRight w:val="270"/>
          <w:marTop w:val="105"/>
          <w:marBottom w:val="16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8.gif"/><Relationship Id="rId18" Type="http://schemas.openxmlformats.org/officeDocument/2006/relationships/image" Target="media/image12.gif"/><Relationship Id="rId26" Type="http://schemas.openxmlformats.org/officeDocument/2006/relationships/image" Target="media/image18.gif"/><Relationship Id="rId3" Type="http://schemas.openxmlformats.org/officeDocument/2006/relationships/settings" Target="settings.xml"/><Relationship Id="rId21" Type="http://schemas.openxmlformats.org/officeDocument/2006/relationships/image" Target="media/image14.gif"/><Relationship Id="rId34" Type="http://schemas.openxmlformats.org/officeDocument/2006/relationships/image" Target="media/image25.gif"/><Relationship Id="rId7" Type="http://schemas.openxmlformats.org/officeDocument/2006/relationships/image" Target="media/image3.gif"/><Relationship Id="rId12" Type="http://schemas.openxmlformats.org/officeDocument/2006/relationships/image" Target="media/image7.gif"/><Relationship Id="rId17" Type="http://schemas.openxmlformats.org/officeDocument/2006/relationships/image" Target="media/image11.gif"/><Relationship Id="rId25" Type="http://schemas.openxmlformats.org/officeDocument/2006/relationships/image" Target="media/image17.gif"/><Relationship Id="rId33" Type="http://schemas.openxmlformats.org/officeDocument/2006/relationships/image" Target="media/image24.gif"/><Relationship Id="rId2" Type="http://schemas.openxmlformats.org/officeDocument/2006/relationships/styles" Target="styles.xml"/><Relationship Id="rId16" Type="http://schemas.openxmlformats.org/officeDocument/2006/relationships/image" Target="media/image10.gif"/><Relationship Id="rId20" Type="http://schemas.openxmlformats.org/officeDocument/2006/relationships/hyperlink" Target="http://www.roi-team.com/products/" TargetMode="External"/><Relationship Id="rId29" Type="http://schemas.openxmlformats.org/officeDocument/2006/relationships/image" Target="media/image20.gif"/><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6.gif"/><Relationship Id="rId24" Type="http://schemas.openxmlformats.org/officeDocument/2006/relationships/image" Target="media/image16.gif"/><Relationship Id="rId32" Type="http://schemas.openxmlformats.org/officeDocument/2006/relationships/image" Target="media/image23.gif"/><Relationship Id="rId37" Type="http://schemas.openxmlformats.org/officeDocument/2006/relationships/theme" Target="theme/theme1.xml"/><Relationship Id="rId5" Type="http://schemas.openxmlformats.org/officeDocument/2006/relationships/image" Target="media/image1.gif"/><Relationship Id="rId15" Type="http://schemas.openxmlformats.org/officeDocument/2006/relationships/hyperlink" Target="http://www.roi-team.com/training/module_07/" TargetMode="External"/><Relationship Id="rId23" Type="http://schemas.openxmlformats.org/officeDocument/2006/relationships/hyperlink" Target="http://www.roi-team.com/products/module_07/" TargetMode="External"/><Relationship Id="rId28" Type="http://schemas.openxmlformats.org/officeDocument/2006/relationships/image" Target="media/image19.gif"/><Relationship Id="rId36" Type="http://schemas.openxmlformats.org/officeDocument/2006/relationships/fontTable" Target="fontTable.xml"/><Relationship Id="rId10" Type="http://schemas.openxmlformats.org/officeDocument/2006/relationships/hyperlink" Target="http://www.roi-team.com/library/esecurity/" TargetMode="External"/><Relationship Id="rId19" Type="http://schemas.openxmlformats.org/officeDocument/2006/relationships/image" Target="media/image13.gif"/><Relationship Id="rId31" Type="http://schemas.openxmlformats.org/officeDocument/2006/relationships/image" Target="media/image22.gif"/><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9.gif"/><Relationship Id="rId22" Type="http://schemas.openxmlformats.org/officeDocument/2006/relationships/image" Target="media/image15.gif"/><Relationship Id="rId27" Type="http://schemas.openxmlformats.org/officeDocument/2006/relationships/hyperlink" Target="http://www.roi-team.com/products/module_06/" TargetMode="External"/><Relationship Id="rId30" Type="http://schemas.openxmlformats.org/officeDocument/2006/relationships/image" Target="media/image21.gif"/><Relationship Id="rId35" Type="http://schemas.openxmlformats.org/officeDocument/2006/relationships/image" Target="media/image26.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2890</Words>
  <Characters>16476</Characters>
  <Application>Microsoft Office Word</Application>
  <DocSecurity>0</DocSecurity>
  <Lines>137</Lines>
  <Paragraphs>38</Paragraphs>
  <ScaleCrop>false</ScaleCrop>
  <Company> </Company>
  <LinksUpToDate>false</LinksUpToDate>
  <CharactersWithSpaces>19328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2010-12-17T07:28:00Z</dcterms:created>
  <dcterms:modified xsi:type="dcterms:W3CDTF">2010-12-17T07:31:00Z</dcterms:modified>
</cp:coreProperties>
</file>