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6A1" w:rsidRPr="00A326A1" w:rsidRDefault="00A326A1" w:rsidP="00A326A1">
      <w:pPr>
        <w:spacing w:before="100" w:beforeAutospacing="1" w:after="100" w:afterAutospacing="1" w:line="240" w:lineRule="auto"/>
        <w:jc w:val="center"/>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80"/>
          <w:sz w:val="36"/>
          <w:szCs w:val="36"/>
        </w:rPr>
        <w:t>BPLR vs Base Rate</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 xml:space="preserve">What is BPLR ? What does BPLR stands for in banking?  What is the full form of BPLR? What is Benchmark Prime Lending Rate?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In banking parlance, the BPLR means the Benchmark Prime Lending Rate.  BPLR is the interest rate that commercial banks normally charge (or we can say they are expected to charge) their most credit-worthy customers.  Although as per Reserve Bank of India rules, Banks are free to fix Benchmark Prime Lending Rate (BPLR) for credit limits over Rs.2 lakh with the approval of their respective Boards yet BPLR has to be declared and made uniformly applicable at all the branches. The banks may authorize their Asset-Liability Management Committee (ALCO) to fix interest rates on Deposits and Advances, subject to their reporting to the Board immediately thereafter. The banks should also declare the maximum spread over BPLR with the approval of the ALCO/Board for all advances.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Whether BPLR is a good benchmark for fixing pricing of the loans?</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For a long time, this has been debatable question.  The BPLR varied from Bank to Bank.  Moreover, the variation was quite wide, stretching over 4% sometimes.  Therefore, a lot of debate has been going for last few years to replace the same with a new benchmark.   The Working Group set up on Benchmark Price Lending Rate (BPLR)in its report submitted in October, 2009,  has also strongly felt that  “The BPLR has tended to be out of sync with market conditions and does not adequately respond to changes in monetary policy. In addition, the tendency of banks to lend at sub-BPLR rates on a large scale raises concerns of transparency…..On account of competitive pressures, banks were lending at rates which did not make much commercial sense” Therefore, the Group was of the view that the extant benchmark prime lending rate (BPLR) system has fallen short of expectations in its original intent of enhancing transparency in lending rates charged by banks and needs to be modified. </w:t>
      </w:r>
      <w:r w:rsidRPr="00A326A1">
        <w:rPr>
          <w:rFonts w:ascii="Times New Roman" w:eastAsia="Times New Roman" w:hAnsi="Times New Roman" w:cs="Times New Roman"/>
          <w:sz w:val="24"/>
          <w:szCs w:val="24"/>
        </w:rPr>
        <w:br/>
      </w:r>
      <w:r w:rsidRPr="00A326A1">
        <w:rPr>
          <w:rFonts w:ascii="Times New Roman" w:eastAsia="Times New Roman" w:hAnsi="Times New Roman" w:cs="Times New Roman"/>
          <w:sz w:val="24"/>
          <w:szCs w:val="24"/>
        </w:rPr>
        <w:br/>
        <w:t>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Why RBI wanted to replace the existing system of BPLR?  What prompted RBI to set up Working Group for review of BPLR?</w:t>
      </w:r>
    </w:p>
    <w:p w:rsidR="00A326A1" w:rsidRPr="00A326A1" w:rsidRDefault="00A326A1" w:rsidP="00A326A1">
      <w:pPr>
        <w:shd w:val="clear" w:color="auto" w:fill="FFFFFF"/>
        <w:spacing w:before="100" w:beforeAutospacing="1" w:after="240" w:line="240" w:lineRule="auto"/>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While initiating the move to replace the existing system of BPLR, RBI felt that the existing lending rate system had lost relevance and hindered effective transmission of monetary policy signals.  For example, RBI reduced its its benchmark lending rate by 425 basis points in the last one year, but banks reduced their BPLR by about 200 basis point cut.  This was mainly because bulk of their lending was below their BPLR.  Although, prime rates (read BPLR) of Indian banks ranged between 11 percent and 15.75 percent,  yet three-fourths of their total loans are made below these levels because of competitive pressures in the fragmented banking sector.</w:t>
      </w:r>
    </w:p>
    <w:p w:rsidR="00A326A1" w:rsidRPr="00A326A1" w:rsidRDefault="00A326A1" w:rsidP="00A326A1">
      <w:pPr>
        <w:shd w:val="clear" w:color="auto" w:fill="FFFFFF"/>
        <w:spacing w:before="100" w:beforeAutospacing="1" w:after="240" w:line="240" w:lineRule="auto"/>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The panel said while market conditions may necessitate lending below the base rate, the need may be only for a short term. Besides, to ensure that such lending does not proliferate, it should not exceed 15 percent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lastRenderedPageBreak/>
        <w:t>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What is Working Group on BPLR? Who is the Chairman of BPLR Working Group? What were the terms of reference to the BPLR Group?</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The Reserve Bank announced the constitution of the Working Group on Benchmark Prime Lending Rate (BPLR) in the Annual Policy Statement of 2009-10 (Chairman: Shri Deepak Mohanty) to review the BPLR system and suggest changes to make credit pricing more transparent.</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 The Working Group was assigned the following terms of reference (i) to review the concept of BPLR and the manner of its computation; (ii) to examine the extent of sub-BPLR lending and the reasons thereof; (iii) to examine the wide divergence in BPLRs of major banks; (iv) to suggest an appropriate loan pricing system for banks based on international best practices; (v) to review the administered lending rates for small loans up to Rs 2 lakh and for exporters; (vi) to suggest suitable benchmarks for floating rate loans in the retail segment; and (vii) consider any other issue relating to lending rates of banks.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 xml:space="preserve">What are the main recommendations of the BPLR group ?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The main recommendations of the Group are                   </w:t>
      </w:r>
    </w:p>
    <w:p w:rsidR="00A326A1" w:rsidRPr="00A326A1" w:rsidRDefault="00A326A1" w:rsidP="00A326A1">
      <w:pPr>
        <w:numPr>
          <w:ilvl w:val="0"/>
          <w:numId w:val="1"/>
        </w:numPr>
        <w:spacing w:line="240" w:lineRule="auto"/>
        <w:rPr>
          <w:rFonts w:ascii="Calibri" w:eastAsia="Times New Roman" w:hAnsi="Calibri" w:cs="Times New Roman"/>
        </w:rPr>
      </w:pPr>
      <w:r w:rsidRPr="00A326A1">
        <w:rPr>
          <w:rFonts w:ascii="Times New Roman" w:eastAsia="Times New Roman" w:hAnsi="Times New Roman" w:cs="Times New Roman"/>
          <w:sz w:val="24"/>
          <w:szCs w:val="24"/>
        </w:rPr>
        <w:t xml:space="preserve">After carefully examining the various possible options, views of various stakeholders from industry associations and those received from the public, and international best practices, the Group is of the view that there is merit in introducing a system of Base Rate to replace the existing BPLR system.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The proposed Base Rate will include all those cost elements which can be clearly identified and are common across borrowers. The constituents of the Base Rate would include (i) the card interest rate on retail deposit (deposits below Rs. 15 lakh) with one year maturity (adjusted for CASA deposits); (ii) adjustment for the negative carry in respect of CRR and SLR; (iii) unallocatable overhead cost for banks which would comprise a minimum set of overhead cost elements; and (iv) average return on net worth.</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The actual lending rates charged to borrowers would be the Base Rate plus borrower-specific charges, which will include product-specific operating costs, credit risk premium and tenor premium.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The Working Group has worked out an illustrative methodology for computing the base rate for the banks. According to this methodology with representative data for the year 2008-09, the illustrative Base Rate works out to 8.55 per cent.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lastRenderedPageBreak/>
        <w:t xml:space="preserve">With the proposed system of Base Rate, there will not be a need for banks to lend below the Base Rate as the Base Rate represents the bare minimum rate below which it will not be viable for the banks to lend. The Group, however, also recognises certain situations when lending below the Base Rate may be necessitated by market conditions. This may occur when there is a large surplus liquidity in the system and banks instead of deploying funds in the LAF window of the Reserve Bank may prefer to lend at rates lower than their respective Base Rates. The Group is of the view that the need for such lending may arise as an exception only for very short-term periods. Accordingly, the Base Rate system recommended by the Group will be applicable for loans with maturity of one year and above (including all working capital loans).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Banks may give loans below one year at fixed or floating rates without reference to the Base Rate. However, in order to ensure that sub-Base Rate lending does not proliferate, the Group recommends that such sub-Base Rate lending in both the priority and non-priority sectors in any financial year should not exceed 15 per cent of the incremental lending during the financial year. Of this, non-priority sector sub-Base Rate lending should not exceed 5 per cent. That is, the overall sub-Base Rate lending during a financial year should not exceed 15 per cent of their incremental lending, and banks will be free to extend entire sub-Base Rate lending of up to 15 per cent to the priority sector.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1"/>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At present, at least ten categories of loans can be priced without reference to BPLR. The Group recommends that such categories of loans may be linked to the Base Rate except interest rates on (a) loans relating to selective credit control, (b) credit card receivables (c) loans to banks’ own employees; and (d) loans under DRI scheme.</w:t>
      </w:r>
      <w:r w:rsidRPr="00A326A1">
        <w:rPr>
          <w:rFonts w:ascii="Calibri" w:eastAsia="Times New Roman" w:hAnsi="Calibri" w:cs="Times New Roman"/>
        </w:rPr>
        <w:t xml:space="preserve"> </w:t>
      </w:r>
    </w:p>
    <w:p w:rsidR="00A326A1" w:rsidRPr="00A326A1" w:rsidRDefault="00A326A1" w:rsidP="00A326A1">
      <w:pPr>
        <w:spacing w:before="100" w:beforeAutospacing="1" w:after="100" w:afterAutospacing="1" w:line="240" w:lineRule="auto"/>
        <w:ind w:left="720"/>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The Base Rate could also serve as the reference benchmark rate for floating rate loan products, apart from the other external market benchmark rates.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In order to increase the flow of credit to small borrowers, administered lending rate for loans up to Rs. 2 lakh may be deregulated as the experience reveals that lending rate regulation has dampened the flow of credit to small borrowers and has imparted downward inflexibility to the BPLRs.  Banks should be free to lend to small borrowers at fixed or floating rates, which would include the Base Rate and sector-specific operating cost, credit risk premium and tenor premium as in the case of other borrowers.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The interest rate on rupee export credit should not exceed the Base Rate of individual banks. As export credit is of short-term in nature and exporters are generally wholesale borrowers, there is need to incentivise export credit for exporters to be globally competitive. By this change in stipulation of pricing of export credit, exporters can still access rupee export credit at lower rates as the Base Rate envisaged is expected to be significantly lower than the BPLRs. The Base Rate based on the methodology suggested by the Group is comparable with the present lending rate of 9.5 per cent charged by the </w:t>
      </w:r>
      <w:r w:rsidRPr="00A326A1">
        <w:rPr>
          <w:rFonts w:ascii="Times New Roman" w:eastAsia="Times New Roman" w:hAnsi="Times New Roman" w:cs="Times New Roman"/>
          <w:sz w:val="24"/>
          <w:szCs w:val="24"/>
        </w:rPr>
        <w:lastRenderedPageBreak/>
        <w:t xml:space="preserve">banks to most exporters. The proposed system will also be more flexible and competitive.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At present the interest rates on education loans are linked to ceilings with reference to the BPLR. In view of the critical role played by education loans in developing human resource skills, the interest rate on these loans may continue be administered. However, in view of the fact that the Base Rate is expected to be significantly lower than BPLR, the Group recommends that there is a need to change the mark up. Accordingly, the Group recommends that the interest rates on all education loans may not exceed the average Base Rate of five largest banks plus 200 basis points. Even with this stipulation, the actual lending rates for education loans would be lower than the current rates prevailing. The information on the average Base Rate should be disseminated by IBA on a quarterly basis to enable banks to price their education loan portfolio.</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 xml:space="preserve">In order to bring about greater transparency in loan pricing, the banks should continue to provide the information on lending rates to the Reserve Bank and disseminate information on the Base Rate. In addition, banks should also provide information on the actual minimum and maximum interest rates charged to borrowers.             </w:t>
      </w:r>
      <w:r w:rsidRPr="00A326A1">
        <w:rPr>
          <w:rFonts w:ascii="Times New Roman" w:eastAsia="Times New Roman" w:hAnsi="Times New Roman" w:cs="Times New Roman"/>
          <w:sz w:val="24"/>
          <w:szCs w:val="24"/>
        </w:rPr>
        <w:br/>
        <w:t xml:space="preserve">                        </w:t>
      </w:r>
    </w:p>
    <w:p w:rsidR="00A326A1" w:rsidRPr="00A326A1" w:rsidRDefault="00A326A1" w:rsidP="00A326A1">
      <w:pPr>
        <w:numPr>
          <w:ilvl w:val="0"/>
          <w:numId w:val="2"/>
        </w:numPr>
        <w:spacing w:line="240" w:lineRule="auto"/>
        <w:jc w:val="both"/>
        <w:rPr>
          <w:rFonts w:ascii="Calibri" w:eastAsia="Times New Roman" w:hAnsi="Calibri" w:cs="Times New Roman"/>
        </w:rPr>
      </w:pPr>
      <w:r w:rsidRPr="00A326A1">
        <w:rPr>
          <w:rFonts w:ascii="Times New Roman" w:eastAsia="Times New Roman" w:hAnsi="Times New Roman" w:cs="Times New Roman"/>
          <w:sz w:val="24"/>
          <w:szCs w:val="24"/>
        </w:rPr>
        <w:t>All banks should follow the Banking Codes and Standards Board of India (BCSBI) Codes for fair treatment of customers of banks, viz., the Code of Bank’s Commitment to Customers (Code) and the Code of Bank’s Commitment to Micro and Small Enterprises (MSE Code) scrupulously. The Group also recommends that the Reserve Bank may require banks to publish summary information relating to the number of complaints and compliance with the codes in their annual reports.</w:t>
      </w:r>
      <w:r w:rsidRPr="00A326A1">
        <w:rPr>
          <w:rFonts w:ascii="Calibri" w:eastAsia="Times New Roman" w:hAnsi="Calibri" w:cs="Times New Roman"/>
        </w:rPr>
        <w:t xml:space="preserve"> </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RBI has placed a draft on the website for suggestions by November, 2009.  The final guidelines are expected to be issued by RBI thereafter.</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What is the difference between BPLR and Base Rate?</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The Reserve Bank of India (RBI) committee on reviewing the benchmark prime lending rate (BPLR) has recommended that the BPLR nomenclature be scrapped and a new benchmark rate — known as Base Rate — should replace it.</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b/>
          <w:bCs/>
          <w:color w:val="800000"/>
          <w:sz w:val="24"/>
          <w:szCs w:val="24"/>
        </w:rPr>
        <w:t>How do the Banks arrive at BPLR and How it is proposed to calculate Base Rate?</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At present, the calculation of BPLR by various banks is not transparent.  However, Bank normally take into consideration the factors like cost of funds, administrative costs and a margin over it.  The BPLR of various banks in the month of October, 2009 ranged between 11 per cent and 16 per cent.</w:t>
      </w:r>
    </w:p>
    <w:p w:rsidR="00A326A1" w:rsidRPr="00A326A1" w:rsidRDefault="00A326A1" w:rsidP="00A326A1">
      <w:pPr>
        <w:spacing w:before="100" w:beforeAutospacing="1" w:after="100" w:afterAutospacing="1" w:line="240" w:lineRule="auto"/>
        <w:jc w:val="both"/>
        <w:rPr>
          <w:rFonts w:ascii="Times New Roman" w:eastAsia="Times New Roman" w:hAnsi="Times New Roman" w:cs="Times New Roman"/>
          <w:sz w:val="24"/>
          <w:szCs w:val="24"/>
        </w:rPr>
      </w:pPr>
      <w:r w:rsidRPr="00A326A1">
        <w:rPr>
          <w:rFonts w:ascii="Times New Roman" w:eastAsia="Times New Roman" w:hAnsi="Times New Roman" w:cs="Times New Roman"/>
          <w:sz w:val="24"/>
          <w:szCs w:val="24"/>
        </w:rPr>
        <w:t xml:space="preserve">The proposed Base Rate will include all those cost elements which can be clearly identified and are common across borrowers. The constituents of the Base Rate would include (i) the card </w:t>
      </w:r>
      <w:r w:rsidRPr="00A326A1">
        <w:rPr>
          <w:rFonts w:ascii="Times New Roman" w:eastAsia="Times New Roman" w:hAnsi="Times New Roman" w:cs="Times New Roman"/>
          <w:sz w:val="24"/>
          <w:szCs w:val="24"/>
        </w:rPr>
        <w:lastRenderedPageBreak/>
        <w:t>interest rate on retail deposit (deposits below Rs. 15 lakh) with one year maturity (adjusted for CASA deposits); (ii) adjustment for the negative carry in respect of CRR and SLR; (iii) unallocatable overhead cost for banks which would comprise a minimum set of overhead cost elements; and (iv) average return on net   After factoring in costs incurred while sanctioning a loan, the proposed base rate could be as low as around  8.50% in the current interest rate scenario (October 2009).</w:t>
      </w:r>
    </w:p>
    <w:p w:rsidR="0066379D" w:rsidRDefault="0066379D"/>
    <w:sectPr w:rsidR="0066379D" w:rsidSect="006637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34E" w:rsidRDefault="00BF034E" w:rsidP="00A326A1">
      <w:pPr>
        <w:spacing w:after="0" w:line="240" w:lineRule="auto"/>
      </w:pPr>
      <w:r>
        <w:separator/>
      </w:r>
    </w:p>
  </w:endnote>
  <w:endnote w:type="continuationSeparator" w:id="1">
    <w:p w:rsidR="00BF034E" w:rsidRDefault="00BF034E" w:rsidP="00A326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34E" w:rsidRDefault="00BF034E" w:rsidP="00A326A1">
      <w:pPr>
        <w:spacing w:after="0" w:line="240" w:lineRule="auto"/>
      </w:pPr>
      <w:r>
        <w:separator/>
      </w:r>
    </w:p>
  </w:footnote>
  <w:footnote w:type="continuationSeparator" w:id="1">
    <w:p w:rsidR="00BF034E" w:rsidRDefault="00BF034E" w:rsidP="00A326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5938" o:spid="_x0000_s2053" type="#_x0000_t136" style="position:absolute;margin-left:0;margin-top:0;width:507.6pt;height:152.25pt;rotation:315;z-index:-251654144;mso-position-horizontal:center;mso-position-horizontal-relative:margin;mso-position-vertical:center;mso-position-vertical-relative:margin" o:allowincell="f" fillcolor="#ffc000" stroked="f">
          <v:fill opacity=".5"/>
          <v:textpath style="font-family:&quot;Calibri&quot;;font-size:1pt" string="UMA SANKAR"/>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5939" o:spid="_x0000_s2054" type="#_x0000_t136" style="position:absolute;margin-left:0;margin-top:0;width:507.6pt;height:152.25pt;rotation:315;z-index:-251652096;mso-position-horizontal:center;mso-position-horizontal-relative:margin;mso-position-vertical:center;mso-position-vertical-relative:margin" o:allowincell="f" fillcolor="#ffc000" stroked="f">
          <v:fill opacity=".5"/>
          <v:textpath style="font-family:&quot;Calibri&quot;;font-size:1pt" string="UMA SANKAR"/>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A1" w:rsidRDefault="00A326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5937" o:spid="_x0000_s2052" type="#_x0000_t136" style="position:absolute;margin-left:0;margin-top:0;width:507.6pt;height:152.25pt;rotation:315;z-index:-251656192;mso-position-horizontal:center;mso-position-horizontal-relative:margin;mso-position-vertical:center;mso-position-vertical-relative:margin" o:allowincell="f" fillcolor="#ffc000" stroked="f">
          <v:fill opacity=".5"/>
          <v:textpath style="font-family:&quot;Calibri&quot;;font-size:1pt" string="UMA SANKAR"/>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E6B67"/>
    <w:multiLevelType w:val="multilevel"/>
    <w:tmpl w:val="A4D4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A9055A"/>
    <w:multiLevelType w:val="multilevel"/>
    <w:tmpl w:val="F5B8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326A1"/>
    <w:rsid w:val="0066379D"/>
    <w:rsid w:val="00A326A1"/>
    <w:rsid w:val="00BF03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26A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326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26A1"/>
  </w:style>
  <w:style w:type="paragraph" w:styleId="Footer">
    <w:name w:val="footer"/>
    <w:basedOn w:val="Normal"/>
    <w:link w:val="FooterChar"/>
    <w:uiPriority w:val="99"/>
    <w:semiHidden/>
    <w:unhideWhenUsed/>
    <w:rsid w:val="00A326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26A1"/>
  </w:style>
</w:styles>
</file>

<file path=word/webSettings.xml><?xml version="1.0" encoding="utf-8"?>
<w:webSettings xmlns:r="http://schemas.openxmlformats.org/officeDocument/2006/relationships" xmlns:w="http://schemas.openxmlformats.org/wordprocessingml/2006/main">
  <w:divs>
    <w:div w:id="43267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1791</Words>
  <Characters>10214</Characters>
  <Application>Microsoft Office Word</Application>
  <DocSecurity>0</DocSecurity>
  <Lines>85</Lines>
  <Paragraphs>23</Paragraphs>
  <ScaleCrop>false</ScaleCrop>
  <Company/>
  <LinksUpToDate>false</LinksUpToDate>
  <CharactersWithSpaces>11982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1</cp:revision>
  <dcterms:created xsi:type="dcterms:W3CDTF">2010-07-02T13:33:00Z</dcterms:created>
  <dcterms:modified xsi:type="dcterms:W3CDTF">2010-07-02T13:38:00Z</dcterms:modified>
</cp:coreProperties>
</file>