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57C" w:rsidRDefault="00555B8A" w:rsidP="00555B8A">
      <w:pPr>
        <w:jc w:val="center"/>
        <w:rPr>
          <w:b/>
          <w:color w:val="984806" w:themeColor="accent6" w:themeShade="80"/>
          <w:sz w:val="28"/>
          <w:szCs w:val="28"/>
        </w:rPr>
      </w:pPr>
      <w:proofErr w:type="gramStart"/>
      <w:r>
        <w:rPr>
          <w:b/>
          <w:color w:val="984806" w:themeColor="accent6" w:themeShade="80"/>
          <w:sz w:val="28"/>
          <w:szCs w:val="28"/>
        </w:rPr>
        <w:t>LIMITED REVISION TO OTHER ACCOUNTING STANDARDS BECAUSE OF ACCOUNTING STANDARD 30.</w:t>
      </w:r>
      <w:proofErr w:type="gramEnd"/>
    </w:p>
    <w:p w:rsidR="00555B8A" w:rsidRDefault="00555B8A" w:rsidP="00555B8A">
      <w:pPr>
        <w:jc w:val="center"/>
        <w:rPr>
          <w:b/>
          <w:color w:val="984806" w:themeColor="accent6" w:themeShade="80"/>
          <w:sz w:val="28"/>
          <w:szCs w:val="28"/>
        </w:rPr>
      </w:pPr>
    </w:p>
    <w:p w:rsidR="00555B8A" w:rsidRDefault="00555B8A" w:rsidP="00555B8A">
      <w:pPr>
        <w:rPr>
          <w:b/>
        </w:rPr>
      </w:pPr>
    </w:p>
    <w:p w:rsidR="00555B8A" w:rsidRDefault="00555B8A" w:rsidP="00555B8A">
      <w:pPr>
        <w:rPr>
          <w:b/>
        </w:rPr>
      </w:pPr>
    </w:p>
    <w:p w:rsidR="00555B8A" w:rsidRDefault="00555B8A" w:rsidP="00555B8A">
      <w:pPr>
        <w:pStyle w:val="ListParagraph"/>
        <w:numPr>
          <w:ilvl w:val="0"/>
          <w:numId w:val="1"/>
        </w:numPr>
        <w:ind w:left="270" w:hanging="270"/>
        <w:rPr>
          <w:b/>
        </w:rPr>
      </w:pPr>
      <w:r>
        <w:rPr>
          <w:b/>
        </w:rPr>
        <w:t>ACCOUNTING STANDARD   2</w:t>
      </w:r>
      <w:r>
        <w:rPr>
          <w:b/>
        </w:rPr>
        <w:tab/>
        <w:t>:</w:t>
      </w:r>
      <w:r>
        <w:rPr>
          <w:b/>
        </w:rPr>
        <w:tab/>
        <w:t xml:space="preserve">If an enterprise purchases inventories at a higher credit  period     </w:t>
      </w:r>
    </w:p>
    <w:p w:rsidR="00555B8A" w:rsidRDefault="00555B8A" w:rsidP="00555B8A">
      <w:pPr>
        <w:pStyle w:val="ListParagraph"/>
        <w:ind w:left="3600"/>
        <w:rPr>
          <w:b/>
        </w:rPr>
      </w:pPr>
      <w:proofErr w:type="spellStart"/>
      <w:r>
        <w:rPr>
          <w:b/>
        </w:rPr>
        <w:t>Incomparision</w:t>
      </w:r>
      <w:proofErr w:type="spellEnd"/>
      <w:r>
        <w:rPr>
          <w:b/>
        </w:rPr>
        <w:t xml:space="preserve"> to the normal credit period then the difference between the amount paid and the purchase price under the normal credit terms is considered as an interest expenses through the period of financing.</w:t>
      </w:r>
    </w:p>
    <w:p w:rsidR="00555B8A" w:rsidRDefault="00555B8A" w:rsidP="00555B8A">
      <w:pPr>
        <w:pStyle w:val="ListParagraph"/>
        <w:ind w:left="3600"/>
        <w:rPr>
          <w:b/>
        </w:rPr>
      </w:pPr>
    </w:p>
    <w:p w:rsidR="00555B8A" w:rsidRDefault="00555B8A" w:rsidP="00555B8A">
      <w:pPr>
        <w:pStyle w:val="ListParagraph"/>
        <w:ind w:left="3600"/>
        <w:rPr>
          <w:b/>
        </w:rPr>
      </w:pPr>
      <w:r>
        <w:rPr>
          <w:b/>
        </w:rPr>
        <w:t>This interest may form part of inventory if the inventory is a qualifying asset. (As per AS 16)</w:t>
      </w:r>
    </w:p>
    <w:p w:rsidR="00555B8A" w:rsidRDefault="00555B8A" w:rsidP="00555B8A">
      <w:pPr>
        <w:rPr>
          <w:b/>
        </w:rPr>
      </w:pPr>
    </w:p>
    <w:p w:rsidR="00555B8A" w:rsidRDefault="00555B8A" w:rsidP="00555B8A">
      <w:pPr>
        <w:rPr>
          <w:b/>
        </w:rPr>
      </w:pPr>
      <w:r>
        <w:rPr>
          <w:b/>
        </w:rPr>
        <w:t>2.  ACCOUNTING STANDARD 26:</w:t>
      </w:r>
      <w:r>
        <w:rPr>
          <w:b/>
        </w:rPr>
        <w:tab/>
        <w:t>Same as above for intangible assets.</w:t>
      </w:r>
    </w:p>
    <w:p w:rsidR="00555B8A" w:rsidRDefault="00555B8A" w:rsidP="00555B8A">
      <w:pPr>
        <w:rPr>
          <w:b/>
        </w:rPr>
      </w:pPr>
    </w:p>
    <w:p w:rsidR="00EE48EF" w:rsidRDefault="00555B8A" w:rsidP="00EE48EF">
      <w:pPr>
        <w:pStyle w:val="ListParagraph"/>
        <w:numPr>
          <w:ilvl w:val="0"/>
          <w:numId w:val="2"/>
        </w:numPr>
        <w:ind w:left="180" w:hanging="180"/>
        <w:jc w:val="both"/>
        <w:rPr>
          <w:b/>
        </w:rPr>
      </w:pPr>
      <w:r w:rsidRPr="00EE48EF">
        <w:rPr>
          <w:b/>
        </w:rPr>
        <w:t xml:space="preserve">  ACCOUNTING STANDARD  21:</w:t>
      </w:r>
      <w:r w:rsidRPr="00EE48EF">
        <w:rPr>
          <w:b/>
        </w:rPr>
        <w:tab/>
        <w:t xml:space="preserve">The name of Accounting standard has changed from </w:t>
      </w:r>
      <w:r w:rsidR="00EE48EF" w:rsidRPr="00EE48EF">
        <w:rPr>
          <w:b/>
        </w:rPr>
        <w:t xml:space="preserve"> </w:t>
      </w:r>
    </w:p>
    <w:p w:rsidR="00555B8A" w:rsidRDefault="00EE48EF" w:rsidP="00EE48EF">
      <w:pPr>
        <w:pStyle w:val="ListParagraph"/>
        <w:ind w:left="3600"/>
        <w:jc w:val="both"/>
        <w:rPr>
          <w:b/>
        </w:rPr>
      </w:pPr>
      <w:proofErr w:type="gramStart"/>
      <w:r>
        <w:rPr>
          <w:b/>
        </w:rPr>
        <w:t xml:space="preserve">“Consolidated Financial Statement” </w:t>
      </w:r>
      <w:r w:rsidRPr="00EE48EF">
        <w:rPr>
          <w:b/>
        </w:rPr>
        <w:t>to</w:t>
      </w:r>
      <w:r>
        <w:rPr>
          <w:b/>
        </w:rPr>
        <w:t xml:space="preserve"> “CONSOLIDATED FINANCIAL STATEMENT AND ACCOUNTING FOR INVESTMENT IN SUBSIDARIES IN SEPRATE FINANCIAL STATEMENT.”</w:t>
      </w:r>
      <w:proofErr w:type="gramEnd"/>
    </w:p>
    <w:p w:rsidR="00EE48EF" w:rsidRDefault="00EE48EF" w:rsidP="00EE48EF">
      <w:pPr>
        <w:pStyle w:val="ListParagraph"/>
        <w:ind w:left="3600"/>
        <w:jc w:val="both"/>
        <w:rPr>
          <w:b/>
        </w:rPr>
      </w:pPr>
    </w:p>
    <w:p w:rsidR="00EE48EF" w:rsidRDefault="00EE48EF" w:rsidP="00EE48EF">
      <w:pPr>
        <w:pStyle w:val="ListParagraph"/>
        <w:ind w:left="3600"/>
        <w:jc w:val="both"/>
        <w:rPr>
          <w:b/>
        </w:rPr>
      </w:pPr>
      <w:r>
        <w:rPr>
          <w:b/>
        </w:rPr>
        <w:t>The subsidiaries which are excluded from consolidation are accounted for using AS 30 in consolidation financial statement. (In place of AS 13)</w:t>
      </w:r>
    </w:p>
    <w:p w:rsidR="00EE48EF" w:rsidRDefault="00EE48EF" w:rsidP="00EE48EF">
      <w:pPr>
        <w:pStyle w:val="ListParagraph"/>
        <w:ind w:left="3600"/>
        <w:jc w:val="both"/>
        <w:rPr>
          <w:b/>
        </w:rPr>
      </w:pPr>
    </w:p>
    <w:p w:rsidR="00EE48EF" w:rsidRDefault="00EE48EF" w:rsidP="00EE48EF">
      <w:pPr>
        <w:pStyle w:val="ListParagraph"/>
        <w:ind w:left="3600"/>
        <w:jc w:val="both"/>
        <w:rPr>
          <w:b/>
        </w:rPr>
      </w:pPr>
      <w:r>
        <w:rPr>
          <w:b/>
        </w:rPr>
        <w:t>In the separate financial statement of the holding the accounting for investment in subsidiaries can be done in two ways:</w:t>
      </w:r>
    </w:p>
    <w:p w:rsidR="00EE48EF" w:rsidRDefault="00EE48EF" w:rsidP="00EE48EF">
      <w:pPr>
        <w:pStyle w:val="ListParagraph"/>
        <w:ind w:left="3600"/>
        <w:jc w:val="both"/>
        <w:rPr>
          <w:b/>
        </w:rPr>
      </w:pPr>
    </w:p>
    <w:p w:rsidR="00EE48EF" w:rsidRDefault="00EE48EF" w:rsidP="00EE48EF">
      <w:pPr>
        <w:pStyle w:val="ListParagraph"/>
        <w:ind w:left="3600"/>
        <w:jc w:val="both"/>
        <w:rPr>
          <w:b/>
        </w:rPr>
      </w:pPr>
      <w:r>
        <w:rPr>
          <w:b/>
        </w:rPr>
        <w:t xml:space="preserve">I  </w:t>
      </w:r>
      <w:r>
        <w:rPr>
          <w:b/>
        </w:rPr>
        <w:tab/>
      </w:r>
      <w:proofErr w:type="gramStart"/>
      <w:r>
        <w:rPr>
          <w:b/>
        </w:rPr>
        <w:t>As</w:t>
      </w:r>
      <w:proofErr w:type="gramEnd"/>
      <w:r>
        <w:rPr>
          <w:b/>
        </w:rPr>
        <w:t xml:space="preserve"> per Accounting Standard 30.</w:t>
      </w:r>
    </w:p>
    <w:p w:rsidR="00EE48EF" w:rsidRDefault="00EE48EF" w:rsidP="00EE48EF">
      <w:pPr>
        <w:pStyle w:val="ListParagraph"/>
        <w:ind w:left="3600"/>
        <w:jc w:val="both"/>
        <w:rPr>
          <w:b/>
        </w:rPr>
      </w:pPr>
      <w:r>
        <w:rPr>
          <w:b/>
        </w:rPr>
        <w:t>Ii</w:t>
      </w:r>
      <w:r>
        <w:rPr>
          <w:b/>
        </w:rPr>
        <w:tab/>
        <w:t>At cost</w:t>
      </w:r>
    </w:p>
    <w:p w:rsidR="00EE48EF" w:rsidRDefault="00EE48EF" w:rsidP="00EE48EF">
      <w:pPr>
        <w:jc w:val="both"/>
        <w:rPr>
          <w:b/>
        </w:rPr>
      </w:pPr>
    </w:p>
    <w:p w:rsidR="00EE48EF" w:rsidRDefault="00EE48EF" w:rsidP="00EE48EF">
      <w:pPr>
        <w:jc w:val="both"/>
        <w:rPr>
          <w:b/>
        </w:rPr>
      </w:pPr>
    </w:p>
    <w:p w:rsidR="00EE48EF" w:rsidRDefault="00EE48EF" w:rsidP="00EE48EF">
      <w:pPr>
        <w:jc w:val="both"/>
        <w:rPr>
          <w:b/>
        </w:rPr>
      </w:pPr>
    </w:p>
    <w:p w:rsidR="00EE48EF" w:rsidRPr="003B2E8F" w:rsidRDefault="00EE48EF" w:rsidP="003B2E8F">
      <w:pPr>
        <w:jc w:val="both"/>
        <w:rPr>
          <w:b/>
        </w:rPr>
      </w:pPr>
      <w:r w:rsidRPr="003B2E8F">
        <w:rPr>
          <w:b/>
        </w:rPr>
        <w:lastRenderedPageBreak/>
        <w:t>4.  ACCOUNTING STANDARD 23:</w:t>
      </w:r>
      <w:r w:rsidRPr="003B2E8F">
        <w:rPr>
          <w:b/>
        </w:rPr>
        <w:tab/>
        <w:t xml:space="preserve">The name of Accounting standard has changed from  </w:t>
      </w:r>
    </w:p>
    <w:p w:rsidR="00EE48EF" w:rsidRDefault="00EE48EF" w:rsidP="00EE48EF">
      <w:pPr>
        <w:pStyle w:val="ListParagraph"/>
        <w:ind w:left="3600"/>
        <w:jc w:val="both"/>
        <w:rPr>
          <w:b/>
        </w:rPr>
      </w:pPr>
      <w:proofErr w:type="gramStart"/>
      <w:r>
        <w:rPr>
          <w:b/>
        </w:rPr>
        <w:t xml:space="preserve">“Accounting for Investment in associates in Consolidated Financial </w:t>
      </w:r>
      <w:proofErr w:type="spellStart"/>
      <w:r>
        <w:rPr>
          <w:b/>
        </w:rPr>
        <w:t>Satements</w:t>
      </w:r>
      <w:proofErr w:type="spellEnd"/>
      <w:r>
        <w:rPr>
          <w:b/>
        </w:rPr>
        <w:t xml:space="preserve">” </w:t>
      </w:r>
      <w:r w:rsidRPr="00EE48EF">
        <w:rPr>
          <w:b/>
        </w:rPr>
        <w:t>to</w:t>
      </w:r>
      <w:r>
        <w:rPr>
          <w:b/>
        </w:rPr>
        <w:t xml:space="preserve"> “ACCOUNTING FOR INVESTMENT IN ASSOCIATES.”</w:t>
      </w:r>
      <w:proofErr w:type="gramEnd"/>
    </w:p>
    <w:p w:rsidR="00EE48EF" w:rsidRDefault="00EE48EF" w:rsidP="00EE48EF">
      <w:pPr>
        <w:pStyle w:val="ListParagraph"/>
        <w:ind w:left="3600"/>
        <w:jc w:val="both"/>
        <w:rPr>
          <w:b/>
        </w:rPr>
      </w:pPr>
    </w:p>
    <w:p w:rsidR="00EE48EF" w:rsidRDefault="00EE48EF" w:rsidP="00EE48EF">
      <w:pPr>
        <w:pStyle w:val="ListParagraph"/>
        <w:ind w:left="3600"/>
        <w:jc w:val="both"/>
        <w:rPr>
          <w:b/>
        </w:rPr>
      </w:pPr>
      <w:r>
        <w:rPr>
          <w:b/>
        </w:rPr>
        <w:t>The subsidiaries which are excluded from consolidation are accounted for using AS 30 in consolidation financial statement. (In place of AS 13)</w:t>
      </w:r>
    </w:p>
    <w:p w:rsidR="00EE48EF" w:rsidRDefault="00EE48EF" w:rsidP="00EE48EF">
      <w:pPr>
        <w:pStyle w:val="ListParagraph"/>
        <w:ind w:left="3600"/>
        <w:jc w:val="both"/>
        <w:rPr>
          <w:b/>
        </w:rPr>
      </w:pPr>
    </w:p>
    <w:p w:rsidR="00EE48EF" w:rsidRDefault="00EE48EF" w:rsidP="00EE48EF">
      <w:pPr>
        <w:pStyle w:val="ListParagraph"/>
        <w:ind w:left="3600"/>
        <w:jc w:val="both"/>
        <w:rPr>
          <w:b/>
        </w:rPr>
      </w:pPr>
      <w:r>
        <w:rPr>
          <w:b/>
        </w:rPr>
        <w:t>In the separate financial statement of the holding the accounting for investment in subsidiaries can be done in two ways:</w:t>
      </w:r>
    </w:p>
    <w:p w:rsidR="00EE48EF" w:rsidRDefault="00EE48EF" w:rsidP="00EE48EF">
      <w:pPr>
        <w:pStyle w:val="ListParagraph"/>
        <w:ind w:left="3600"/>
        <w:jc w:val="both"/>
        <w:rPr>
          <w:b/>
        </w:rPr>
      </w:pPr>
    </w:p>
    <w:p w:rsidR="00EE48EF" w:rsidRDefault="00EE48EF" w:rsidP="00EE48EF">
      <w:pPr>
        <w:pStyle w:val="ListParagraph"/>
        <w:ind w:left="3600"/>
        <w:jc w:val="both"/>
        <w:rPr>
          <w:b/>
        </w:rPr>
      </w:pPr>
      <w:r>
        <w:rPr>
          <w:b/>
        </w:rPr>
        <w:t xml:space="preserve">I  </w:t>
      </w:r>
      <w:r>
        <w:rPr>
          <w:b/>
        </w:rPr>
        <w:tab/>
      </w:r>
      <w:proofErr w:type="gramStart"/>
      <w:r>
        <w:rPr>
          <w:b/>
        </w:rPr>
        <w:t>As</w:t>
      </w:r>
      <w:proofErr w:type="gramEnd"/>
      <w:r>
        <w:rPr>
          <w:b/>
        </w:rPr>
        <w:t xml:space="preserve"> per Accounting Standard 30.</w:t>
      </w:r>
    </w:p>
    <w:p w:rsidR="00EE48EF" w:rsidRDefault="00EE48EF" w:rsidP="00EE48EF">
      <w:pPr>
        <w:pStyle w:val="ListParagraph"/>
        <w:ind w:left="3600"/>
        <w:jc w:val="both"/>
        <w:rPr>
          <w:b/>
        </w:rPr>
      </w:pPr>
      <w:r>
        <w:rPr>
          <w:b/>
        </w:rPr>
        <w:t>Ii</w:t>
      </w:r>
      <w:r>
        <w:rPr>
          <w:b/>
        </w:rPr>
        <w:tab/>
        <w:t>At cost</w:t>
      </w:r>
    </w:p>
    <w:p w:rsidR="00EE48EF" w:rsidRPr="00EE48EF" w:rsidRDefault="00EE48EF" w:rsidP="00EE48EF">
      <w:pPr>
        <w:rPr>
          <w:b/>
        </w:rPr>
      </w:pPr>
    </w:p>
    <w:p w:rsidR="003B2E8F" w:rsidRPr="003B2E8F" w:rsidRDefault="003B2E8F" w:rsidP="003B2E8F">
      <w:pPr>
        <w:jc w:val="both"/>
        <w:rPr>
          <w:b/>
        </w:rPr>
      </w:pPr>
      <w:r>
        <w:rPr>
          <w:b/>
        </w:rPr>
        <w:t>5</w:t>
      </w:r>
      <w:r w:rsidRPr="003B2E8F">
        <w:rPr>
          <w:b/>
        </w:rPr>
        <w:t>.  ACCOUNTING STANDARD 2</w:t>
      </w:r>
      <w:r>
        <w:rPr>
          <w:b/>
        </w:rPr>
        <w:t>7</w:t>
      </w:r>
      <w:r w:rsidRPr="003B2E8F">
        <w:rPr>
          <w:b/>
        </w:rPr>
        <w:t>:</w:t>
      </w:r>
      <w:r>
        <w:rPr>
          <w:b/>
        </w:rPr>
        <w:tab/>
      </w:r>
      <w:r w:rsidRPr="003B2E8F">
        <w:rPr>
          <w:b/>
        </w:rPr>
        <w:t xml:space="preserve">The name of Accounting standard has </w:t>
      </w:r>
      <w:r>
        <w:rPr>
          <w:b/>
        </w:rPr>
        <w:t>NOT CHANGED</w:t>
      </w:r>
    </w:p>
    <w:p w:rsidR="003B2E8F" w:rsidRDefault="003B2E8F" w:rsidP="003B2E8F">
      <w:pPr>
        <w:pStyle w:val="ListParagraph"/>
        <w:ind w:left="3600"/>
        <w:jc w:val="both"/>
        <w:rPr>
          <w:b/>
        </w:rPr>
      </w:pPr>
      <w:r>
        <w:rPr>
          <w:b/>
        </w:rPr>
        <w:t>The subsidiaries which are excluded from consolidation are accounted for using AS 30 in consolidation financial statement. (In place of AS 13)</w:t>
      </w:r>
    </w:p>
    <w:p w:rsidR="003B2E8F" w:rsidRDefault="003B2E8F" w:rsidP="003B2E8F">
      <w:pPr>
        <w:pStyle w:val="ListParagraph"/>
        <w:ind w:left="3600"/>
        <w:jc w:val="both"/>
        <w:rPr>
          <w:b/>
        </w:rPr>
      </w:pPr>
    </w:p>
    <w:p w:rsidR="003B2E8F" w:rsidRDefault="003B2E8F" w:rsidP="003B2E8F">
      <w:pPr>
        <w:pStyle w:val="ListParagraph"/>
        <w:ind w:left="3600"/>
        <w:jc w:val="both"/>
        <w:rPr>
          <w:b/>
        </w:rPr>
      </w:pPr>
      <w:r>
        <w:rPr>
          <w:b/>
        </w:rPr>
        <w:t>In the separate financial statement of the holding the accounting for investment in subsidiaries can be done in two ways:</w:t>
      </w:r>
    </w:p>
    <w:p w:rsidR="003B2E8F" w:rsidRDefault="003B2E8F" w:rsidP="003B2E8F">
      <w:pPr>
        <w:pStyle w:val="ListParagraph"/>
        <w:ind w:left="3600"/>
        <w:jc w:val="both"/>
        <w:rPr>
          <w:b/>
        </w:rPr>
      </w:pPr>
    </w:p>
    <w:p w:rsidR="003B2E8F" w:rsidRDefault="003B2E8F" w:rsidP="003B2E8F">
      <w:pPr>
        <w:pStyle w:val="ListParagraph"/>
        <w:ind w:left="3600"/>
        <w:jc w:val="both"/>
        <w:rPr>
          <w:b/>
        </w:rPr>
      </w:pPr>
      <w:r>
        <w:rPr>
          <w:b/>
        </w:rPr>
        <w:t xml:space="preserve">I  </w:t>
      </w:r>
      <w:r>
        <w:rPr>
          <w:b/>
        </w:rPr>
        <w:tab/>
      </w:r>
      <w:proofErr w:type="gramStart"/>
      <w:r>
        <w:rPr>
          <w:b/>
        </w:rPr>
        <w:t>As</w:t>
      </w:r>
      <w:proofErr w:type="gramEnd"/>
      <w:r>
        <w:rPr>
          <w:b/>
        </w:rPr>
        <w:t xml:space="preserve"> per Accounting Standard 30.</w:t>
      </w:r>
    </w:p>
    <w:p w:rsidR="003B2E8F" w:rsidRDefault="003B2E8F" w:rsidP="003B2E8F">
      <w:pPr>
        <w:pStyle w:val="ListParagraph"/>
        <w:ind w:left="3600"/>
        <w:jc w:val="both"/>
        <w:rPr>
          <w:b/>
        </w:rPr>
      </w:pPr>
      <w:r>
        <w:rPr>
          <w:b/>
        </w:rPr>
        <w:t>Ii</w:t>
      </w:r>
      <w:r>
        <w:rPr>
          <w:b/>
        </w:rPr>
        <w:tab/>
        <w:t>At cost</w:t>
      </w:r>
    </w:p>
    <w:p w:rsidR="00EE48EF" w:rsidRDefault="00EE48EF" w:rsidP="003B2E8F">
      <w:pPr>
        <w:jc w:val="both"/>
        <w:rPr>
          <w:b/>
        </w:rPr>
      </w:pPr>
    </w:p>
    <w:p w:rsidR="003B2E8F" w:rsidRDefault="003B2E8F" w:rsidP="003B2E8F">
      <w:pPr>
        <w:contextualSpacing/>
        <w:jc w:val="both"/>
        <w:rPr>
          <w:b/>
        </w:rPr>
      </w:pPr>
      <w:r>
        <w:rPr>
          <w:b/>
        </w:rPr>
        <w:t>6</w:t>
      </w:r>
      <w:r w:rsidRPr="003B2E8F">
        <w:rPr>
          <w:b/>
        </w:rPr>
        <w:t>.  ACCOUNTING STANDARD 2</w:t>
      </w:r>
      <w:r>
        <w:rPr>
          <w:b/>
        </w:rPr>
        <w:t>8</w:t>
      </w:r>
      <w:r w:rsidRPr="003B2E8F">
        <w:rPr>
          <w:b/>
        </w:rPr>
        <w:t>:</w:t>
      </w:r>
      <w:r>
        <w:rPr>
          <w:b/>
        </w:rPr>
        <w:tab/>
        <w:t xml:space="preserve">The Impairment of Financial Instruments which were earlier </w:t>
      </w:r>
    </w:p>
    <w:p w:rsidR="003B2E8F" w:rsidRDefault="003B2E8F" w:rsidP="003B2E8F">
      <w:pPr>
        <w:contextualSpacing/>
        <w:jc w:val="both"/>
        <w:rPr>
          <w:b/>
        </w:rPr>
      </w:pPr>
      <w:r>
        <w:rPr>
          <w:b/>
        </w:rPr>
        <w:tab/>
      </w:r>
      <w:r>
        <w:rPr>
          <w:b/>
        </w:rPr>
        <w:tab/>
      </w:r>
      <w:r>
        <w:rPr>
          <w:b/>
        </w:rPr>
        <w:tab/>
      </w:r>
      <w:r>
        <w:rPr>
          <w:b/>
        </w:rPr>
        <w:tab/>
      </w:r>
      <w:r>
        <w:rPr>
          <w:b/>
        </w:rPr>
        <w:tab/>
        <w:t xml:space="preserve">Covered by Accounting Standard 28 will now be covered by </w:t>
      </w:r>
    </w:p>
    <w:p w:rsidR="003B2E8F" w:rsidRDefault="003B2E8F" w:rsidP="003B2E8F">
      <w:pPr>
        <w:contextualSpacing/>
        <w:jc w:val="both"/>
        <w:rPr>
          <w:b/>
        </w:rPr>
      </w:pPr>
      <w:r>
        <w:rPr>
          <w:b/>
        </w:rPr>
        <w:tab/>
      </w:r>
      <w:r>
        <w:rPr>
          <w:b/>
        </w:rPr>
        <w:tab/>
      </w:r>
      <w:r>
        <w:rPr>
          <w:b/>
        </w:rPr>
        <w:tab/>
      </w:r>
      <w:r>
        <w:rPr>
          <w:b/>
        </w:rPr>
        <w:tab/>
      </w:r>
      <w:r>
        <w:rPr>
          <w:b/>
        </w:rPr>
        <w:tab/>
      </w:r>
      <w:proofErr w:type="gramStart"/>
      <w:r>
        <w:rPr>
          <w:b/>
        </w:rPr>
        <w:t>Accounting Standard 30.</w:t>
      </w:r>
      <w:proofErr w:type="gramEnd"/>
    </w:p>
    <w:p w:rsidR="003B2E8F" w:rsidRDefault="003B2E8F" w:rsidP="003B2E8F">
      <w:pPr>
        <w:jc w:val="both"/>
        <w:rPr>
          <w:b/>
        </w:rPr>
      </w:pPr>
    </w:p>
    <w:p w:rsidR="003B2E8F" w:rsidRDefault="003B2E8F" w:rsidP="003B2E8F">
      <w:pPr>
        <w:jc w:val="both"/>
        <w:rPr>
          <w:b/>
        </w:rPr>
      </w:pPr>
    </w:p>
    <w:p w:rsidR="003B2E8F" w:rsidRDefault="003B2E8F" w:rsidP="003B2E8F">
      <w:pPr>
        <w:ind w:right="-90"/>
        <w:contextualSpacing/>
        <w:jc w:val="both"/>
        <w:rPr>
          <w:b/>
        </w:rPr>
      </w:pPr>
      <w:r>
        <w:rPr>
          <w:b/>
        </w:rPr>
        <w:t>7</w:t>
      </w:r>
      <w:r w:rsidRPr="003B2E8F">
        <w:rPr>
          <w:b/>
        </w:rPr>
        <w:t>.  ACCOUNTING STANDARD 2</w:t>
      </w:r>
      <w:r>
        <w:rPr>
          <w:b/>
        </w:rPr>
        <w:t>9</w:t>
      </w:r>
      <w:r w:rsidRPr="003B2E8F">
        <w:rPr>
          <w:b/>
        </w:rPr>
        <w:t>:</w:t>
      </w:r>
      <w:r>
        <w:rPr>
          <w:b/>
        </w:rPr>
        <w:tab/>
        <w:t>The Provision and contingencies regarding financial instruments</w:t>
      </w:r>
    </w:p>
    <w:p w:rsidR="003B2E8F" w:rsidRPr="00EE48EF" w:rsidRDefault="003B2E8F" w:rsidP="003B2E8F">
      <w:pPr>
        <w:ind w:right="-86"/>
        <w:contextualSpacing/>
        <w:jc w:val="both"/>
        <w:rPr>
          <w:b/>
        </w:rPr>
      </w:pPr>
      <w:r>
        <w:rPr>
          <w:b/>
        </w:rPr>
        <w:tab/>
      </w:r>
      <w:r>
        <w:rPr>
          <w:b/>
        </w:rPr>
        <w:tab/>
      </w:r>
      <w:r>
        <w:rPr>
          <w:b/>
        </w:rPr>
        <w:tab/>
      </w:r>
      <w:r>
        <w:rPr>
          <w:b/>
        </w:rPr>
        <w:tab/>
      </w:r>
      <w:r>
        <w:rPr>
          <w:b/>
        </w:rPr>
        <w:tab/>
      </w:r>
      <w:proofErr w:type="gramStart"/>
      <w:r>
        <w:rPr>
          <w:b/>
        </w:rPr>
        <w:t>which</w:t>
      </w:r>
      <w:proofErr w:type="gramEnd"/>
      <w:r>
        <w:rPr>
          <w:b/>
        </w:rPr>
        <w:t xml:space="preserve"> were earlier covered by Accounting Standard 29 will now</w:t>
      </w:r>
      <w:r>
        <w:rPr>
          <w:b/>
        </w:rPr>
        <w:tab/>
      </w:r>
      <w:r>
        <w:rPr>
          <w:b/>
        </w:rPr>
        <w:tab/>
      </w:r>
      <w:r>
        <w:rPr>
          <w:b/>
        </w:rPr>
        <w:tab/>
      </w:r>
      <w:r>
        <w:rPr>
          <w:b/>
        </w:rPr>
        <w:tab/>
      </w:r>
      <w:r>
        <w:rPr>
          <w:b/>
        </w:rPr>
        <w:tab/>
        <w:t>be covered by Accounting Standard 30.</w:t>
      </w:r>
    </w:p>
    <w:sectPr w:rsidR="003B2E8F" w:rsidRPr="00EE48EF" w:rsidSect="002475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73E2D"/>
    <w:multiLevelType w:val="hybridMultilevel"/>
    <w:tmpl w:val="74DA54CA"/>
    <w:lvl w:ilvl="0" w:tplc="0409000F">
      <w:start w:val="1"/>
      <w:numFmt w:val="decimal"/>
      <w:lvlText w:val="%1."/>
      <w:lvlJc w:val="left"/>
      <w:pPr>
        <w:ind w:left="9720" w:hanging="360"/>
      </w:pPr>
      <w:rPr>
        <w:rFonts w:hint="default"/>
      </w:rPr>
    </w:lvl>
    <w:lvl w:ilvl="1" w:tplc="04090019" w:tentative="1">
      <w:start w:val="1"/>
      <w:numFmt w:val="lowerLetter"/>
      <w:lvlText w:val="%2."/>
      <w:lvlJc w:val="left"/>
      <w:pPr>
        <w:ind w:left="10800" w:hanging="360"/>
      </w:pPr>
    </w:lvl>
    <w:lvl w:ilvl="2" w:tplc="0409001B" w:tentative="1">
      <w:start w:val="1"/>
      <w:numFmt w:val="lowerRoman"/>
      <w:lvlText w:val="%3."/>
      <w:lvlJc w:val="right"/>
      <w:pPr>
        <w:ind w:left="11520" w:hanging="180"/>
      </w:pPr>
    </w:lvl>
    <w:lvl w:ilvl="3" w:tplc="0409000F" w:tentative="1">
      <w:start w:val="1"/>
      <w:numFmt w:val="decimal"/>
      <w:lvlText w:val="%4."/>
      <w:lvlJc w:val="left"/>
      <w:pPr>
        <w:ind w:left="12240" w:hanging="360"/>
      </w:pPr>
    </w:lvl>
    <w:lvl w:ilvl="4" w:tplc="04090019" w:tentative="1">
      <w:start w:val="1"/>
      <w:numFmt w:val="lowerLetter"/>
      <w:lvlText w:val="%5."/>
      <w:lvlJc w:val="left"/>
      <w:pPr>
        <w:ind w:left="12960" w:hanging="360"/>
      </w:pPr>
    </w:lvl>
    <w:lvl w:ilvl="5" w:tplc="0409001B" w:tentative="1">
      <w:start w:val="1"/>
      <w:numFmt w:val="lowerRoman"/>
      <w:lvlText w:val="%6."/>
      <w:lvlJc w:val="right"/>
      <w:pPr>
        <w:ind w:left="13680" w:hanging="180"/>
      </w:pPr>
    </w:lvl>
    <w:lvl w:ilvl="6" w:tplc="0409000F" w:tentative="1">
      <w:start w:val="1"/>
      <w:numFmt w:val="decimal"/>
      <w:lvlText w:val="%7."/>
      <w:lvlJc w:val="left"/>
      <w:pPr>
        <w:ind w:left="14400" w:hanging="360"/>
      </w:pPr>
    </w:lvl>
    <w:lvl w:ilvl="7" w:tplc="04090019" w:tentative="1">
      <w:start w:val="1"/>
      <w:numFmt w:val="lowerLetter"/>
      <w:lvlText w:val="%8."/>
      <w:lvlJc w:val="left"/>
      <w:pPr>
        <w:ind w:left="15120" w:hanging="360"/>
      </w:pPr>
    </w:lvl>
    <w:lvl w:ilvl="8" w:tplc="0409001B" w:tentative="1">
      <w:start w:val="1"/>
      <w:numFmt w:val="lowerRoman"/>
      <w:lvlText w:val="%9."/>
      <w:lvlJc w:val="right"/>
      <w:pPr>
        <w:ind w:left="15840" w:hanging="180"/>
      </w:pPr>
    </w:lvl>
  </w:abstractNum>
  <w:abstractNum w:abstractNumId="1">
    <w:nsid w:val="1DE64671"/>
    <w:multiLevelType w:val="hybridMultilevel"/>
    <w:tmpl w:val="84AE7DBA"/>
    <w:lvl w:ilvl="0" w:tplc="0409000F">
      <w:start w:val="3"/>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55B8A"/>
    <w:rsid w:val="0024757C"/>
    <w:rsid w:val="003B2E8F"/>
    <w:rsid w:val="00555B8A"/>
    <w:rsid w:val="00871453"/>
    <w:rsid w:val="00A50B7B"/>
    <w:rsid w:val="00EE48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5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B8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dc:creator>
  <cp:keywords/>
  <dc:description/>
  <cp:lastModifiedBy>Kumar</cp:lastModifiedBy>
  <cp:revision>1</cp:revision>
  <dcterms:created xsi:type="dcterms:W3CDTF">2010-05-02T06:42:00Z</dcterms:created>
  <dcterms:modified xsi:type="dcterms:W3CDTF">2010-05-02T07:11:00Z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