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4F" w:rsidRDefault="003E20F0" w:rsidP="003E20F0">
      <w:pPr>
        <w:jc w:val="center"/>
        <w:rPr>
          <w:rFonts w:ascii="Century Gothic" w:hAnsi="Century Gothic"/>
          <w:b/>
          <w:imprint/>
          <w:color w:val="7030A0"/>
          <w:sz w:val="32"/>
          <w:szCs w:val="32"/>
        </w:rPr>
      </w:pPr>
      <w:r w:rsidRPr="003E20F0">
        <w:rPr>
          <w:rFonts w:ascii="Century Gothic" w:hAnsi="Century Gothic"/>
          <w:b/>
          <w:imprint/>
          <w:color w:val="7030A0"/>
          <w:sz w:val="32"/>
          <w:szCs w:val="32"/>
        </w:rPr>
        <w:t>ECONOMIC VALUE ADDED STATEMENT</w:t>
      </w:r>
    </w:p>
    <w:p w:rsidR="00282B09" w:rsidRPr="00537294" w:rsidRDefault="00875EDE" w:rsidP="00875EDE">
      <w:pPr>
        <w:spacing w:line="240" w:lineRule="auto"/>
        <w:contextualSpacing/>
        <w:rPr>
          <w:rFonts w:ascii="Century Gothic" w:hAnsi="Century Gothic"/>
          <w:b/>
          <w:color w:val="FF3399"/>
          <w:sz w:val="24"/>
          <w:szCs w:val="24"/>
        </w:rPr>
      </w:pPr>
      <w:r w:rsidRPr="00537294">
        <w:rPr>
          <w:rFonts w:ascii="Century Gothic" w:hAnsi="Century Gothic"/>
          <w:b/>
          <w:color w:val="FF3399"/>
          <w:sz w:val="24"/>
          <w:szCs w:val="24"/>
        </w:rPr>
        <w:t xml:space="preserve">MEANING: </w:t>
      </w:r>
    </w:p>
    <w:p w:rsidR="00282B09" w:rsidRPr="00282B09" w:rsidRDefault="00282B09" w:rsidP="00875EDE">
      <w:pPr>
        <w:spacing w:line="240" w:lineRule="auto"/>
        <w:contextualSpacing/>
        <w:rPr>
          <w:rFonts w:ascii="Century Gothic" w:hAnsi="Century Gothic"/>
          <w:b/>
          <w:color w:val="FF3399"/>
          <w:sz w:val="20"/>
          <w:szCs w:val="20"/>
        </w:rPr>
      </w:pPr>
    </w:p>
    <w:p w:rsidR="00875EDE" w:rsidRDefault="00875EDE" w:rsidP="00875EDE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EVA is the </w:t>
      </w:r>
      <w:r w:rsidR="003606A0">
        <w:rPr>
          <w:rFonts w:ascii="Century Gothic" w:hAnsi="Century Gothic"/>
          <w:sz w:val="20"/>
          <w:szCs w:val="20"/>
        </w:rPr>
        <w:t>S</w:t>
      </w:r>
      <w:r>
        <w:rPr>
          <w:rFonts w:ascii="Century Gothic" w:hAnsi="Century Gothic"/>
          <w:sz w:val="20"/>
          <w:szCs w:val="20"/>
        </w:rPr>
        <w:t>urplus generated by an entity</w:t>
      </w:r>
      <w:r w:rsidR="00282B09">
        <w:rPr>
          <w:rFonts w:ascii="Century Gothic" w:hAnsi="Century Gothic"/>
          <w:sz w:val="20"/>
          <w:szCs w:val="20"/>
        </w:rPr>
        <w:t xml:space="preserve"> after meeting an equitable charge towards the providers of capital.</w:t>
      </w:r>
    </w:p>
    <w:p w:rsidR="00282B09" w:rsidRDefault="00282B09" w:rsidP="00875EDE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</w:p>
    <w:p w:rsidR="00282B09" w:rsidRDefault="00537294" w:rsidP="00875EDE">
      <w:pPr>
        <w:spacing w:line="240" w:lineRule="auto"/>
        <w:contextualSpacing/>
        <w:rPr>
          <w:rFonts w:ascii="Century Gothic" w:hAnsi="Century Gothic"/>
          <w:b/>
          <w:color w:val="FF3399"/>
          <w:sz w:val="24"/>
          <w:szCs w:val="24"/>
        </w:rPr>
      </w:pPr>
      <w:r w:rsidRPr="00537294">
        <w:rPr>
          <w:rFonts w:ascii="Century Gothic" w:hAnsi="Century Gothic"/>
          <w:b/>
          <w:color w:val="FF3399"/>
          <w:sz w:val="24"/>
          <w:szCs w:val="24"/>
        </w:rPr>
        <w:t>USES:</w:t>
      </w:r>
    </w:p>
    <w:p w:rsidR="00537294" w:rsidRDefault="00537294" w:rsidP="00875EDE">
      <w:pPr>
        <w:spacing w:line="240" w:lineRule="auto"/>
        <w:contextualSpacing/>
        <w:rPr>
          <w:rFonts w:ascii="Century Gothic" w:hAnsi="Century Gothic"/>
          <w:b/>
          <w:color w:val="FF3399"/>
          <w:sz w:val="24"/>
          <w:szCs w:val="24"/>
        </w:rPr>
      </w:pPr>
    </w:p>
    <w:p w:rsidR="00537294" w:rsidRPr="00537294" w:rsidRDefault="00537294" w:rsidP="00875EDE">
      <w:pPr>
        <w:spacing w:line="240" w:lineRule="auto"/>
        <w:contextualSpacing/>
        <w:rPr>
          <w:rFonts w:ascii="Century Gothic" w:hAnsi="Century Gothic"/>
          <w:sz w:val="20"/>
          <w:szCs w:val="20"/>
        </w:rPr>
      </w:pPr>
      <w:r w:rsidRPr="00537294">
        <w:rPr>
          <w:rFonts w:ascii="Century Gothic" w:hAnsi="Century Gothic"/>
          <w:sz w:val="20"/>
          <w:szCs w:val="20"/>
        </w:rPr>
        <w:t>EVA helps to –</w:t>
      </w:r>
    </w:p>
    <w:p w:rsidR="00537294" w:rsidRPr="009B1D81" w:rsidRDefault="00537294" w:rsidP="009B1D81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0"/>
          <w:szCs w:val="20"/>
        </w:rPr>
      </w:pPr>
      <w:r w:rsidRPr="009B1D81">
        <w:rPr>
          <w:rFonts w:ascii="Century Gothic" w:hAnsi="Century Gothic"/>
          <w:sz w:val="20"/>
          <w:szCs w:val="20"/>
        </w:rPr>
        <w:t>M</w:t>
      </w:r>
      <w:r w:rsidR="00EA3271" w:rsidRPr="009B1D81">
        <w:rPr>
          <w:rFonts w:ascii="Century Gothic" w:hAnsi="Century Gothic"/>
          <w:sz w:val="20"/>
          <w:szCs w:val="20"/>
        </w:rPr>
        <w:t>easure the financial performance.</w:t>
      </w:r>
    </w:p>
    <w:p w:rsidR="00EA3271" w:rsidRPr="009B1D81" w:rsidRDefault="00EA3271" w:rsidP="009B1D81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0"/>
          <w:szCs w:val="20"/>
        </w:rPr>
      </w:pPr>
      <w:r w:rsidRPr="009B1D81">
        <w:rPr>
          <w:rFonts w:ascii="Century Gothic" w:hAnsi="Century Gothic"/>
          <w:sz w:val="20"/>
          <w:szCs w:val="20"/>
        </w:rPr>
        <w:t>Take important managerial decisions.</w:t>
      </w:r>
    </w:p>
    <w:p w:rsidR="00EA3271" w:rsidRPr="009B1D81" w:rsidRDefault="00EA3271" w:rsidP="009B1D81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sz w:val="20"/>
          <w:szCs w:val="20"/>
        </w:rPr>
      </w:pPr>
      <w:r w:rsidRPr="009B1D81">
        <w:rPr>
          <w:rFonts w:ascii="Century Gothic" w:hAnsi="Century Gothic"/>
          <w:sz w:val="20"/>
          <w:szCs w:val="20"/>
        </w:rPr>
        <w:t>Equate managerial incentives with shareholder’s interest</w:t>
      </w:r>
      <w:r w:rsidR="009B1D81" w:rsidRPr="009B1D81">
        <w:rPr>
          <w:rFonts w:ascii="Century Gothic" w:hAnsi="Century Gothic"/>
          <w:sz w:val="20"/>
          <w:szCs w:val="20"/>
        </w:rPr>
        <w:t>.</w:t>
      </w:r>
    </w:p>
    <w:p w:rsidR="009B1D81" w:rsidRPr="009B1D81" w:rsidRDefault="009B1D81" w:rsidP="009B1D81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  <w:b/>
          <w:color w:val="FF3399"/>
          <w:sz w:val="24"/>
          <w:szCs w:val="24"/>
        </w:rPr>
      </w:pPr>
      <w:r w:rsidRPr="009B1D81">
        <w:rPr>
          <w:rFonts w:ascii="Century Gothic" w:hAnsi="Century Gothic"/>
          <w:sz w:val="20"/>
          <w:szCs w:val="20"/>
        </w:rPr>
        <w:t>Improve financial &amp; business literacy throughout the firm.</w:t>
      </w:r>
    </w:p>
    <w:p w:rsidR="00537294" w:rsidRDefault="000F0B76" w:rsidP="00875EDE">
      <w:pPr>
        <w:spacing w:line="240" w:lineRule="auto"/>
        <w:contextualSpacing/>
        <w:rPr>
          <w:rFonts w:ascii="Century Gothic" w:hAnsi="Century Gothic"/>
          <w:b/>
          <w:color w:val="FF3399"/>
          <w:sz w:val="24"/>
          <w:szCs w:val="24"/>
        </w:rPr>
      </w:pPr>
      <w:r>
        <w:rPr>
          <w:rFonts w:ascii="Century Gothic" w:hAnsi="Century Gothic"/>
          <w:b/>
          <w:color w:val="FF3399"/>
          <w:sz w:val="24"/>
          <w:szCs w:val="24"/>
        </w:rPr>
        <w:t>VALUE ADDED Vs ECONOMIC VALUE ADDED:</w:t>
      </w:r>
    </w:p>
    <w:p w:rsidR="006725F0" w:rsidRPr="00F47EEE" w:rsidRDefault="006725F0" w:rsidP="00875EDE">
      <w:pPr>
        <w:spacing w:line="240" w:lineRule="auto"/>
        <w:contextualSpacing/>
        <w:rPr>
          <w:rFonts w:ascii="Century Gothic" w:hAnsi="Century Gothic"/>
          <w:b/>
          <w:color w:val="00B05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818"/>
        <w:gridCol w:w="4566"/>
        <w:gridCol w:w="3192"/>
      </w:tblGrid>
      <w:tr w:rsidR="000F0B76" w:rsidRPr="00F47EEE" w:rsidTr="00435732">
        <w:tc>
          <w:tcPr>
            <w:tcW w:w="1818" w:type="dxa"/>
          </w:tcPr>
          <w:p w:rsidR="000F0B76" w:rsidRPr="00F47EEE" w:rsidRDefault="006725F0" w:rsidP="006725F0">
            <w:pPr>
              <w:contextualSpacing/>
              <w:jc w:val="center"/>
              <w:rPr>
                <w:rFonts w:ascii="Century Gothic" w:hAnsi="Century Gothic"/>
                <w:b/>
                <w:color w:val="00B050"/>
              </w:rPr>
            </w:pPr>
            <w:r w:rsidRPr="00F47EEE">
              <w:rPr>
                <w:rFonts w:ascii="Century Gothic" w:hAnsi="Century Gothic"/>
                <w:b/>
                <w:color w:val="00B050"/>
              </w:rPr>
              <w:t>Particulars</w:t>
            </w:r>
          </w:p>
        </w:tc>
        <w:tc>
          <w:tcPr>
            <w:tcW w:w="4566" w:type="dxa"/>
          </w:tcPr>
          <w:p w:rsidR="000F0B76" w:rsidRPr="00F47EEE" w:rsidRDefault="006725F0" w:rsidP="006725F0">
            <w:pPr>
              <w:contextualSpacing/>
              <w:jc w:val="center"/>
              <w:rPr>
                <w:rFonts w:ascii="Century Gothic" w:hAnsi="Century Gothic"/>
                <w:b/>
                <w:color w:val="00B050"/>
              </w:rPr>
            </w:pPr>
            <w:r w:rsidRPr="00F47EEE">
              <w:rPr>
                <w:rFonts w:ascii="Century Gothic" w:hAnsi="Century Gothic"/>
                <w:b/>
                <w:color w:val="00B050"/>
              </w:rPr>
              <w:t>Value Added</w:t>
            </w:r>
          </w:p>
        </w:tc>
        <w:tc>
          <w:tcPr>
            <w:tcW w:w="3192" w:type="dxa"/>
          </w:tcPr>
          <w:p w:rsidR="000F0B76" w:rsidRPr="00F47EEE" w:rsidRDefault="006725F0" w:rsidP="006725F0">
            <w:pPr>
              <w:contextualSpacing/>
              <w:jc w:val="center"/>
              <w:rPr>
                <w:rFonts w:ascii="Century Gothic" w:hAnsi="Century Gothic"/>
                <w:b/>
                <w:color w:val="00B050"/>
              </w:rPr>
            </w:pPr>
            <w:r w:rsidRPr="00F47EEE">
              <w:rPr>
                <w:rFonts w:ascii="Century Gothic" w:hAnsi="Century Gothic"/>
                <w:b/>
                <w:color w:val="00B050"/>
              </w:rPr>
              <w:t>Economic Value Added</w:t>
            </w:r>
          </w:p>
        </w:tc>
      </w:tr>
      <w:tr w:rsidR="000F0B76" w:rsidTr="00435732">
        <w:tc>
          <w:tcPr>
            <w:tcW w:w="1818" w:type="dxa"/>
          </w:tcPr>
          <w:p w:rsidR="000F0B76" w:rsidRPr="00F47EEE" w:rsidRDefault="00766A82" w:rsidP="00875EDE">
            <w:pPr>
              <w:contextualSpacing/>
              <w:rPr>
                <w:rFonts w:ascii="Century Gothic" w:hAnsi="Century Gothic"/>
                <w:b/>
                <w:color w:val="7030A0"/>
                <w:sz w:val="24"/>
                <w:szCs w:val="24"/>
              </w:rPr>
            </w:pPr>
            <w:r w:rsidRPr="00F47EEE">
              <w:rPr>
                <w:rFonts w:ascii="Century Gothic" w:hAnsi="Century Gothic"/>
                <w:b/>
                <w:color w:val="7030A0"/>
                <w:sz w:val="20"/>
                <w:szCs w:val="20"/>
              </w:rPr>
              <w:t>Meaning</w:t>
            </w:r>
          </w:p>
        </w:tc>
        <w:tc>
          <w:tcPr>
            <w:tcW w:w="4566" w:type="dxa"/>
          </w:tcPr>
          <w:p w:rsidR="000F0B76" w:rsidRPr="00435732" w:rsidRDefault="00435732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Wealth that a firm able to create through collective effort of capital, management &amp; employees.</w:t>
            </w:r>
          </w:p>
        </w:tc>
        <w:tc>
          <w:tcPr>
            <w:tcW w:w="3192" w:type="dxa"/>
          </w:tcPr>
          <w:p w:rsidR="000F0B76" w:rsidRPr="00435732" w:rsidRDefault="003606A0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Surplus generated by an entity after meeting an equitable charge towards the providers of capital.</w:t>
            </w:r>
          </w:p>
        </w:tc>
      </w:tr>
      <w:tr w:rsidR="000F0B76" w:rsidTr="00435732">
        <w:tc>
          <w:tcPr>
            <w:tcW w:w="1818" w:type="dxa"/>
          </w:tcPr>
          <w:p w:rsidR="000F0B76" w:rsidRPr="00F47EEE" w:rsidRDefault="00766A82" w:rsidP="00875EDE">
            <w:pPr>
              <w:contextualSpacing/>
              <w:rPr>
                <w:rFonts w:ascii="Century Gothic" w:hAnsi="Century Gothic"/>
                <w:b/>
                <w:color w:val="7030A0"/>
                <w:sz w:val="24"/>
                <w:szCs w:val="24"/>
              </w:rPr>
            </w:pPr>
            <w:r w:rsidRPr="00F47EEE">
              <w:rPr>
                <w:rFonts w:ascii="Century Gothic" w:hAnsi="Century Gothic"/>
                <w:b/>
                <w:color w:val="7030A0"/>
                <w:sz w:val="20"/>
                <w:szCs w:val="20"/>
              </w:rPr>
              <w:t>Computation</w:t>
            </w:r>
          </w:p>
        </w:tc>
        <w:tc>
          <w:tcPr>
            <w:tcW w:w="4566" w:type="dxa"/>
          </w:tcPr>
          <w:p w:rsidR="000F0B76" w:rsidRDefault="00F322DF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r w:rsidR="00537AE0">
              <w:rPr>
                <w:rFonts w:ascii="Century Gothic" w:hAnsi="Century Gothic"/>
                <w:sz w:val="20"/>
                <w:szCs w:val="20"/>
              </w:rPr>
              <w:t xml:space="preserve">Market price of firm’s output </w:t>
            </w:r>
          </w:p>
          <w:p w:rsidR="00537AE0" w:rsidRPr="00435732" w:rsidRDefault="00537AE0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(-)Cost of Bought in materials &amp; services</w:t>
            </w:r>
          </w:p>
        </w:tc>
        <w:tc>
          <w:tcPr>
            <w:tcW w:w="3192" w:type="dxa"/>
          </w:tcPr>
          <w:p w:rsidR="000F0B76" w:rsidRDefault="00A259B2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Operating Profit</w:t>
            </w:r>
          </w:p>
          <w:p w:rsidR="00A259B2" w:rsidRDefault="00A259B2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(-)Taxes paid</w:t>
            </w:r>
          </w:p>
          <w:p w:rsidR="00A259B2" w:rsidRPr="00435732" w:rsidRDefault="00A259B2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(-)Capital employed X WACC</w:t>
            </w:r>
          </w:p>
        </w:tc>
      </w:tr>
      <w:tr w:rsidR="000F0B76" w:rsidTr="00435732">
        <w:tc>
          <w:tcPr>
            <w:tcW w:w="1818" w:type="dxa"/>
          </w:tcPr>
          <w:p w:rsidR="000F0B76" w:rsidRPr="00F47EEE" w:rsidRDefault="00766A82" w:rsidP="00875EDE">
            <w:pPr>
              <w:contextualSpacing/>
              <w:rPr>
                <w:rFonts w:ascii="Century Gothic" w:hAnsi="Century Gothic"/>
                <w:b/>
                <w:color w:val="7030A0"/>
                <w:sz w:val="20"/>
                <w:szCs w:val="20"/>
              </w:rPr>
            </w:pPr>
            <w:r w:rsidRPr="00F47EEE">
              <w:rPr>
                <w:rFonts w:ascii="Century Gothic" w:hAnsi="Century Gothic"/>
                <w:b/>
                <w:color w:val="7030A0"/>
                <w:sz w:val="20"/>
                <w:szCs w:val="20"/>
              </w:rPr>
              <w:t>Purpose</w:t>
            </w:r>
          </w:p>
        </w:tc>
        <w:tc>
          <w:tcPr>
            <w:tcW w:w="4566" w:type="dxa"/>
          </w:tcPr>
          <w:p w:rsidR="000F0B76" w:rsidRPr="00435732" w:rsidRDefault="00F322DF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Analyzing the performance and activity of reporting entity.</w:t>
            </w:r>
          </w:p>
        </w:tc>
        <w:tc>
          <w:tcPr>
            <w:tcW w:w="3192" w:type="dxa"/>
          </w:tcPr>
          <w:p w:rsidR="000F0B76" w:rsidRPr="00435732" w:rsidRDefault="000B2703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Help managers in taking decisions which increase shareholder’s wealth.</w:t>
            </w:r>
          </w:p>
        </w:tc>
      </w:tr>
      <w:tr w:rsidR="000F0B76" w:rsidTr="00435732">
        <w:tc>
          <w:tcPr>
            <w:tcW w:w="1818" w:type="dxa"/>
          </w:tcPr>
          <w:p w:rsidR="000F0B76" w:rsidRPr="00F47EEE" w:rsidRDefault="00766A82" w:rsidP="00875EDE">
            <w:pPr>
              <w:contextualSpacing/>
              <w:rPr>
                <w:rFonts w:ascii="Century Gothic" w:hAnsi="Century Gothic"/>
                <w:b/>
                <w:color w:val="7030A0"/>
                <w:sz w:val="20"/>
                <w:szCs w:val="20"/>
              </w:rPr>
            </w:pPr>
            <w:r w:rsidRPr="00F47EEE">
              <w:rPr>
                <w:rFonts w:ascii="Century Gothic" w:hAnsi="Century Gothic"/>
                <w:b/>
                <w:color w:val="7030A0"/>
                <w:sz w:val="20"/>
                <w:szCs w:val="20"/>
              </w:rPr>
              <w:t>Focus</w:t>
            </w:r>
          </w:p>
        </w:tc>
        <w:tc>
          <w:tcPr>
            <w:tcW w:w="4566" w:type="dxa"/>
          </w:tcPr>
          <w:p w:rsidR="000F0B76" w:rsidRPr="00435732" w:rsidRDefault="00F322DF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Firm’s performance &amp; contribution towards various groups.</w:t>
            </w:r>
          </w:p>
        </w:tc>
        <w:tc>
          <w:tcPr>
            <w:tcW w:w="3192" w:type="dxa"/>
          </w:tcPr>
          <w:p w:rsidR="000F0B76" w:rsidRPr="00435732" w:rsidRDefault="000B2703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Firm’s ability to create surplus above shareholder’s expectations.</w:t>
            </w:r>
          </w:p>
        </w:tc>
      </w:tr>
      <w:tr w:rsidR="000F0B76" w:rsidTr="00435732">
        <w:tc>
          <w:tcPr>
            <w:tcW w:w="1818" w:type="dxa"/>
          </w:tcPr>
          <w:p w:rsidR="000F0B76" w:rsidRPr="00F47EEE" w:rsidRDefault="00435732" w:rsidP="00875EDE">
            <w:pPr>
              <w:contextualSpacing/>
              <w:rPr>
                <w:rFonts w:ascii="Century Gothic" w:hAnsi="Century Gothic"/>
                <w:b/>
                <w:color w:val="7030A0"/>
                <w:sz w:val="20"/>
                <w:szCs w:val="20"/>
              </w:rPr>
            </w:pPr>
            <w:r w:rsidRPr="00F47EEE">
              <w:rPr>
                <w:rFonts w:ascii="Century Gothic" w:hAnsi="Century Gothic"/>
                <w:b/>
                <w:color w:val="7030A0"/>
                <w:sz w:val="20"/>
                <w:szCs w:val="20"/>
              </w:rPr>
              <w:t>Information</w:t>
            </w:r>
          </w:p>
        </w:tc>
        <w:tc>
          <w:tcPr>
            <w:tcW w:w="4566" w:type="dxa"/>
          </w:tcPr>
          <w:p w:rsidR="000F0B76" w:rsidRPr="00435732" w:rsidRDefault="003606A0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Based on internal data.</w:t>
            </w:r>
          </w:p>
        </w:tc>
        <w:tc>
          <w:tcPr>
            <w:tcW w:w="3192" w:type="dxa"/>
          </w:tcPr>
          <w:p w:rsidR="000F0B76" w:rsidRPr="00435732" w:rsidRDefault="00DF1037" w:rsidP="00E31DC4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Uses market information estimates like C</w:t>
            </w:r>
            <w:r w:rsidR="00E31DC4">
              <w:rPr>
                <w:rFonts w:ascii="Century Gothic" w:hAnsi="Century Gothic"/>
                <w:sz w:val="20"/>
                <w:szCs w:val="20"/>
              </w:rPr>
              <w:t>ost of Capital, Beta, Risk free Rate of Return etc.</w:t>
            </w:r>
          </w:p>
        </w:tc>
      </w:tr>
      <w:tr w:rsidR="000F0B76" w:rsidTr="00435732">
        <w:tc>
          <w:tcPr>
            <w:tcW w:w="1818" w:type="dxa"/>
          </w:tcPr>
          <w:p w:rsidR="000F0B76" w:rsidRPr="00F47EEE" w:rsidRDefault="00435732" w:rsidP="00875EDE">
            <w:pPr>
              <w:contextualSpacing/>
              <w:rPr>
                <w:rFonts w:ascii="Century Gothic" w:hAnsi="Century Gothic"/>
                <w:b/>
                <w:color w:val="7030A0"/>
                <w:sz w:val="20"/>
                <w:szCs w:val="20"/>
              </w:rPr>
            </w:pPr>
            <w:r w:rsidRPr="00F47EEE">
              <w:rPr>
                <w:rFonts w:ascii="Century Gothic" w:hAnsi="Century Gothic"/>
                <w:b/>
                <w:color w:val="7030A0"/>
                <w:sz w:val="20"/>
                <w:szCs w:val="20"/>
              </w:rPr>
              <w:t>Time value of money</w:t>
            </w:r>
          </w:p>
        </w:tc>
        <w:tc>
          <w:tcPr>
            <w:tcW w:w="4566" w:type="dxa"/>
          </w:tcPr>
          <w:p w:rsidR="000F0B76" w:rsidRPr="00435732" w:rsidRDefault="003606A0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Not considered.</w:t>
            </w:r>
          </w:p>
        </w:tc>
        <w:tc>
          <w:tcPr>
            <w:tcW w:w="3192" w:type="dxa"/>
          </w:tcPr>
          <w:p w:rsidR="000F0B76" w:rsidRPr="00435732" w:rsidRDefault="00E31DC4" w:rsidP="00875EDE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Considered </w:t>
            </w:r>
            <w:r w:rsidR="00F47EEE">
              <w:rPr>
                <w:rFonts w:ascii="Century Gothic" w:hAnsi="Century Gothic"/>
                <w:sz w:val="20"/>
                <w:szCs w:val="20"/>
              </w:rPr>
              <w:t>by using WACC.</w:t>
            </w:r>
          </w:p>
        </w:tc>
      </w:tr>
    </w:tbl>
    <w:p w:rsidR="000F0B76" w:rsidRDefault="000F0B76" w:rsidP="00875EDE">
      <w:pPr>
        <w:spacing w:line="240" w:lineRule="auto"/>
        <w:contextualSpacing/>
        <w:rPr>
          <w:rFonts w:ascii="Century Gothic" w:hAnsi="Century Gothic"/>
          <w:b/>
          <w:color w:val="FF3399"/>
          <w:sz w:val="24"/>
          <w:szCs w:val="24"/>
        </w:rPr>
      </w:pPr>
    </w:p>
    <w:p w:rsidR="00F47EEE" w:rsidRDefault="006369BC" w:rsidP="00875EDE">
      <w:pPr>
        <w:spacing w:line="240" w:lineRule="auto"/>
        <w:contextualSpacing/>
        <w:rPr>
          <w:rFonts w:ascii="Century Gothic" w:hAnsi="Century Gothic"/>
          <w:b/>
          <w:color w:val="FF3399"/>
          <w:sz w:val="24"/>
          <w:szCs w:val="24"/>
        </w:rPr>
      </w:pPr>
      <w:r>
        <w:rPr>
          <w:rFonts w:ascii="Century Gothic" w:hAnsi="Century Gothic"/>
          <w:b/>
          <w:color w:val="FF3399"/>
          <w:sz w:val="24"/>
          <w:szCs w:val="24"/>
        </w:rPr>
        <w:t>CONCEPT OF EVA:</w:t>
      </w:r>
    </w:p>
    <w:p w:rsidR="006369BC" w:rsidRPr="008D0A9D" w:rsidRDefault="006369BC" w:rsidP="008D0A9D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8D0A9D">
        <w:rPr>
          <w:rFonts w:ascii="Century Gothic" w:hAnsi="Century Gothic"/>
          <w:sz w:val="20"/>
          <w:szCs w:val="20"/>
        </w:rPr>
        <w:t>Excess of returns over cost of capital.</w:t>
      </w:r>
    </w:p>
    <w:p w:rsidR="006369BC" w:rsidRPr="008D0A9D" w:rsidRDefault="006369BC" w:rsidP="008D0A9D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8D0A9D">
        <w:rPr>
          <w:rFonts w:ascii="Century Gothic" w:hAnsi="Century Gothic"/>
          <w:sz w:val="20"/>
          <w:szCs w:val="20"/>
        </w:rPr>
        <w:t>Measures</w:t>
      </w:r>
      <w:r w:rsidR="00DD0718" w:rsidRPr="008D0A9D">
        <w:rPr>
          <w:rFonts w:ascii="Century Gothic" w:hAnsi="Century Gothic"/>
          <w:sz w:val="20"/>
          <w:szCs w:val="20"/>
        </w:rPr>
        <w:t xml:space="preserve"> whether operating profit is sufficient enough to cover cost of capital.</w:t>
      </w:r>
    </w:p>
    <w:p w:rsidR="00DD0718" w:rsidRPr="00417A46" w:rsidRDefault="00DD0718" w:rsidP="008D0A9D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color w:val="FF0000"/>
          <w:sz w:val="20"/>
          <w:szCs w:val="20"/>
        </w:rPr>
      </w:pPr>
      <w:r w:rsidRPr="008D0A9D">
        <w:rPr>
          <w:rFonts w:ascii="Century Gothic" w:hAnsi="Century Gothic"/>
          <w:sz w:val="20"/>
          <w:szCs w:val="20"/>
        </w:rPr>
        <w:t xml:space="preserve">If a company </w:t>
      </w:r>
      <w:r w:rsidRPr="00417A46">
        <w:rPr>
          <w:rFonts w:ascii="Century Gothic" w:hAnsi="Century Gothic"/>
          <w:b/>
          <w:i/>
          <w:color w:val="00B050"/>
          <w:sz w:val="20"/>
          <w:szCs w:val="20"/>
        </w:rPr>
        <w:t>EVA is negative</w:t>
      </w:r>
      <w:r w:rsidRPr="008D0A9D">
        <w:rPr>
          <w:rFonts w:ascii="Century Gothic" w:hAnsi="Century Gothic"/>
          <w:sz w:val="20"/>
          <w:szCs w:val="20"/>
        </w:rPr>
        <w:t xml:space="preserve"> – </w:t>
      </w:r>
      <w:r w:rsidRPr="00417A46">
        <w:rPr>
          <w:rFonts w:ascii="Century Gothic" w:hAnsi="Century Gothic"/>
          <w:color w:val="FF0000"/>
          <w:sz w:val="20"/>
          <w:szCs w:val="20"/>
        </w:rPr>
        <w:t>Firm is destroying shareholders wealth even though it may be reporting positive and growing EPS or ROCE.</w:t>
      </w:r>
    </w:p>
    <w:p w:rsidR="00DD0718" w:rsidRPr="008D0A9D" w:rsidRDefault="002F58C4" w:rsidP="008D0A9D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8D0A9D">
        <w:rPr>
          <w:rFonts w:ascii="Century Gothic" w:hAnsi="Century Gothic"/>
          <w:sz w:val="20"/>
          <w:szCs w:val="20"/>
        </w:rPr>
        <w:t>Shows whether company is creating real value for its shareholders or not.</w:t>
      </w:r>
    </w:p>
    <w:p w:rsidR="002F58C4" w:rsidRPr="008D0A9D" w:rsidRDefault="002F58C4" w:rsidP="008D0A9D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417A46">
        <w:rPr>
          <w:rFonts w:ascii="Century Gothic" w:hAnsi="Century Gothic"/>
          <w:b/>
          <w:color w:val="31849B" w:themeColor="accent5" w:themeShade="BF"/>
          <w:sz w:val="20"/>
          <w:szCs w:val="20"/>
        </w:rPr>
        <w:t>C</w:t>
      </w:r>
      <w:r w:rsidRPr="008D0A9D">
        <w:rPr>
          <w:rFonts w:ascii="Century Gothic" w:hAnsi="Century Gothic"/>
          <w:sz w:val="20"/>
          <w:szCs w:val="20"/>
        </w:rPr>
        <w:t xml:space="preserve">apital </w:t>
      </w:r>
      <w:r w:rsidR="00381A31" w:rsidRPr="00381A31">
        <w:rPr>
          <w:rFonts w:ascii="Century Gothic" w:hAnsi="Century Gothic"/>
          <w:b/>
          <w:color w:val="31849B" w:themeColor="accent5" w:themeShade="BF"/>
          <w:sz w:val="20"/>
          <w:szCs w:val="20"/>
        </w:rPr>
        <w:t>A</w:t>
      </w:r>
      <w:r w:rsidRPr="008D0A9D">
        <w:rPr>
          <w:rFonts w:ascii="Century Gothic" w:hAnsi="Century Gothic"/>
          <w:sz w:val="20"/>
          <w:szCs w:val="20"/>
        </w:rPr>
        <w:t xml:space="preserve">sset </w:t>
      </w:r>
      <w:r w:rsidR="00381A31" w:rsidRPr="00381A31">
        <w:rPr>
          <w:rFonts w:ascii="Century Gothic" w:hAnsi="Century Gothic"/>
          <w:b/>
          <w:color w:val="31849B" w:themeColor="accent5" w:themeShade="BF"/>
          <w:sz w:val="20"/>
          <w:szCs w:val="20"/>
        </w:rPr>
        <w:t>P</w:t>
      </w:r>
      <w:r w:rsidRPr="008D0A9D">
        <w:rPr>
          <w:rFonts w:ascii="Century Gothic" w:hAnsi="Century Gothic"/>
          <w:sz w:val="20"/>
          <w:szCs w:val="20"/>
        </w:rPr>
        <w:t xml:space="preserve">ricing </w:t>
      </w:r>
      <w:r w:rsidR="00381A31" w:rsidRPr="00381A31">
        <w:rPr>
          <w:rFonts w:ascii="Century Gothic" w:hAnsi="Century Gothic"/>
          <w:b/>
          <w:color w:val="31849B" w:themeColor="accent5" w:themeShade="BF"/>
          <w:sz w:val="20"/>
          <w:szCs w:val="20"/>
        </w:rPr>
        <w:t>M</w:t>
      </w:r>
      <w:r w:rsidRPr="008D0A9D">
        <w:rPr>
          <w:rFonts w:ascii="Century Gothic" w:hAnsi="Century Gothic"/>
          <w:sz w:val="20"/>
          <w:szCs w:val="20"/>
        </w:rPr>
        <w:t>odel (</w:t>
      </w:r>
      <w:r w:rsidRPr="00417A46">
        <w:rPr>
          <w:rFonts w:ascii="Century Gothic" w:hAnsi="Century Gothic"/>
          <w:b/>
          <w:color w:val="31849B" w:themeColor="accent5" w:themeShade="BF"/>
          <w:sz w:val="20"/>
          <w:szCs w:val="20"/>
        </w:rPr>
        <w:t>CAPM</w:t>
      </w:r>
      <w:r w:rsidRPr="008D0A9D">
        <w:rPr>
          <w:rFonts w:ascii="Century Gothic" w:hAnsi="Century Gothic"/>
          <w:sz w:val="20"/>
          <w:szCs w:val="20"/>
        </w:rPr>
        <w:t>) is used to calculate EVA.</w:t>
      </w:r>
    </w:p>
    <w:p w:rsidR="002F58C4" w:rsidRPr="008D0A9D" w:rsidRDefault="002F58C4" w:rsidP="008D0A9D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8D0A9D">
        <w:rPr>
          <w:rFonts w:ascii="Century Gothic" w:hAnsi="Century Gothic"/>
          <w:sz w:val="20"/>
          <w:szCs w:val="20"/>
        </w:rPr>
        <w:t xml:space="preserve">EVA expressed in terms of </w:t>
      </w:r>
      <w:r w:rsidR="008D0A9D" w:rsidRPr="008D0A9D">
        <w:rPr>
          <w:rFonts w:ascii="Century Gothic" w:hAnsi="Century Gothic"/>
          <w:sz w:val="20"/>
          <w:szCs w:val="20"/>
        </w:rPr>
        <w:t>Rupee (figures) and not in percentage.</w:t>
      </w:r>
    </w:p>
    <w:p w:rsidR="00DD0718" w:rsidRDefault="00DD0718" w:rsidP="006369BC">
      <w:pPr>
        <w:spacing w:after="0" w:line="240" w:lineRule="auto"/>
        <w:contextualSpacing/>
        <w:rPr>
          <w:rFonts w:ascii="Century Gothic" w:hAnsi="Century Gothic"/>
          <w:sz w:val="20"/>
          <w:szCs w:val="20"/>
        </w:rPr>
      </w:pPr>
    </w:p>
    <w:p w:rsidR="008D0A9D" w:rsidRDefault="008D0A9D" w:rsidP="006369BC">
      <w:pPr>
        <w:spacing w:after="0" w:line="240" w:lineRule="auto"/>
        <w:contextualSpacing/>
        <w:rPr>
          <w:rFonts w:ascii="Century Gothic" w:hAnsi="Century Gothic"/>
          <w:sz w:val="20"/>
          <w:szCs w:val="20"/>
        </w:rPr>
      </w:pPr>
    </w:p>
    <w:p w:rsidR="008D0A9D" w:rsidRDefault="008D0A9D" w:rsidP="008D0A9D">
      <w:pPr>
        <w:spacing w:line="240" w:lineRule="auto"/>
        <w:contextualSpacing/>
        <w:rPr>
          <w:rFonts w:ascii="Century Gothic" w:hAnsi="Century Gothic"/>
          <w:b/>
          <w:color w:val="FF3399"/>
          <w:sz w:val="24"/>
          <w:szCs w:val="24"/>
        </w:rPr>
      </w:pPr>
      <w:r w:rsidRPr="008D0A9D">
        <w:rPr>
          <w:rFonts w:ascii="Century Gothic" w:hAnsi="Century Gothic"/>
          <w:b/>
          <w:color w:val="FF3399"/>
          <w:sz w:val="24"/>
          <w:szCs w:val="24"/>
        </w:rPr>
        <w:lastRenderedPageBreak/>
        <w:t>LIMITATIONS OF EVA:</w:t>
      </w:r>
    </w:p>
    <w:p w:rsidR="008D0A9D" w:rsidRDefault="008D0A9D" w:rsidP="00815BA9">
      <w:pPr>
        <w:spacing w:after="0" w:line="240" w:lineRule="auto"/>
        <w:rPr>
          <w:rFonts w:ascii="Century Gothic" w:hAnsi="Century Gothic"/>
          <w:b/>
          <w:color w:val="FF3399"/>
          <w:sz w:val="24"/>
          <w:szCs w:val="24"/>
        </w:rPr>
      </w:pPr>
    </w:p>
    <w:p w:rsidR="00815BA9" w:rsidRPr="007955AF" w:rsidRDefault="00815BA9" w:rsidP="007955AF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7955AF">
        <w:rPr>
          <w:rFonts w:ascii="Century Gothic" w:hAnsi="Century Gothic"/>
          <w:sz w:val="20"/>
          <w:szCs w:val="20"/>
        </w:rPr>
        <w:t>Not easy to use.</w:t>
      </w:r>
    </w:p>
    <w:p w:rsidR="00815BA9" w:rsidRPr="007955AF" w:rsidRDefault="00815BA9" w:rsidP="007955AF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7955AF">
        <w:rPr>
          <w:rFonts w:ascii="Century Gothic" w:hAnsi="Century Gothic"/>
          <w:sz w:val="20"/>
          <w:szCs w:val="20"/>
        </w:rPr>
        <w:t>Too complicated for small business.</w:t>
      </w:r>
    </w:p>
    <w:p w:rsidR="00815BA9" w:rsidRPr="007955AF" w:rsidRDefault="00815BA9" w:rsidP="007955AF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7955AF">
        <w:rPr>
          <w:rFonts w:ascii="Century Gothic" w:hAnsi="Century Gothic"/>
          <w:sz w:val="20"/>
          <w:szCs w:val="20"/>
        </w:rPr>
        <w:t>Recommends inexpensive debts in order to reduce cost of capital.</w:t>
      </w:r>
    </w:p>
    <w:p w:rsidR="00815BA9" w:rsidRDefault="00815BA9" w:rsidP="007955AF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7955AF">
        <w:rPr>
          <w:rFonts w:ascii="Century Gothic" w:hAnsi="Century Gothic"/>
          <w:sz w:val="20"/>
          <w:szCs w:val="20"/>
        </w:rPr>
        <w:t>A passive tool, measures past performance.</w:t>
      </w:r>
    </w:p>
    <w:p w:rsidR="007955AF" w:rsidRDefault="007955AF" w:rsidP="007955AF">
      <w:pPr>
        <w:pStyle w:val="ListParagraph"/>
        <w:spacing w:after="0" w:line="240" w:lineRule="auto"/>
        <w:rPr>
          <w:rFonts w:ascii="Century Gothic" w:hAnsi="Century Gothic"/>
          <w:sz w:val="20"/>
          <w:szCs w:val="20"/>
        </w:rPr>
      </w:pPr>
    </w:p>
    <w:p w:rsidR="007955AF" w:rsidRDefault="007955AF" w:rsidP="007955AF">
      <w:pPr>
        <w:spacing w:line="240" w:lineRule="auto"/>
        <w:contextualSpacing/>
        <w:rPr>
          <w:rFonts w:ascii="Century Gothic" w:hAnsi="Century Gothic"/>
          <w:b/>
          <w:color w:val="FF3399"/>
          <w:sz w:val="24"/>
          <w:szCs w:val="24"/>
        </w:rPr>
      </w:pPr>
      <w:r>
        <w:rPr>
          <w:rFonts w:ascii="Century Gothic" w:hAnsi="Century Gothic"/>
          <w:b/>
          <w:color w:val="FF3399"/>
          <w:sz w:val="24"/>
          <w:szCs w:val="24"/>
        </w:rPr>
        <w:t>FACTORS INVOLVED IN CALCULATING EVA:</w:t>
      </w:r>
    </w:p>
    <w:p w:rsidR="007955AF" w:rsidRDefault="007955AF" w:rsidP="007955AF">
      <w:pPr>
        <w:spacing w:line="240" w:lineRule="auto"/>
        <w:contextualSpacing/>
        <w:rPr>
          <w:rFonts w:ascii="Century Gothic" w:hAnsi="Century Gothic"/>
          <w:b/>
          <w:color w:val="FF3399"/>
          <w:sz w:val="24"/>
          <w:szCs w:val="24"/>
        </w:rPr>
      </w:pPr>
    </w:p>
    <w:p w:rsidR="007955AF" w:rsidRPr="00E72D7C" w:rsidRDefault="00295E47" w:rsidP="00E72D7C">
      <w:pPr>
        <w:pStyle w:val="ListParagraph"/>
        <w:spacing w:after="0" w:line="240" w:lineRule="auto"/>
        <w:ind w:left="2160"/>
        <w:rPr>
          <w:rFonts w:ascii="Century Gothic" w:hAnsi="Century Gothic"/>
          <w:sz w:val="20"/>
          <w:szCs w:val="20"/>
        </w:rPr>
      </w:pPr>
      <w:r w:rsidRPr="00E72D7C">
        <w:rPr>
          <w:rFonts w:ascii="Century Gothic" w:hAnsi="Century Gothic"/>
          <w:sz w:val="20"/>
          <w:szCs w:val="20"/>
        </w:rPr>
        <w:t xml:space="preserve">Interest on LTB </w:t>
      </w:r>
      <w:r w:rsidR="00A427CA" w:rsidRPr="00E72D7C">
        <w:rPr>
          <w:rFonts w:ascii="Century Gothic" w:hAnsi="Century Gothic"/>
          <w:sz w:val="20"/>
          <w:szCs w:val="20"/>
        </w:rPr>
        <w:t>(1</w:t>
      </w:r>
      <w:r w:rsidRPr="00E72D7C">
        <w:rPr>
          <w:rFonts w:ascii="Century Gothic" w:hAnsi="Century Gothic"/>
          <w:sz w:val="20"/>
          <w:szCs w:val="20"/>
        </w:rPr>
        <w:t xml:space="preserve"> – Tax rate)</w:t>
      </w:r>
    </w:p>
    <w:p w:rsidR="002812E4" w:rsidRPr="00E72D7C" w:rsidRDefault="002812E4" w:rsidP="00E72D7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81A31"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  <w:t>Cost of Debt</w:t>
      </w:r>
      <w:r w:rsidRPr="00E72D7C">
        <w:rPr>
          <w:rFonts w:ascii="Century Gothic" w:hAnsi="Century Gothic"/>
          <w:sz w:val="20"/>
          <w:szCs w:val="20"/>
        </w:rPr>
        <w:t xml:space="preserve"> </w:t>
      </w:r>
      <w:r w:rsidR="00A427CA" w:rsidRPr="00E72D7C">
        <w:rPr>
          <w:rFonts w:ascii="Century Gothic" w:hAnsi="Century Gothic"/>
          <w:sz w:val="20"/>
          <w:szCs w:val="20"/>
        </w:rPr>
        <w:t>= -------------------------------------------</w:t>
      </w:r>
      <w:r w:rsidRPr="00E72D7C">
        <w:rPr>
          <w:rFonts w:ascii="Century Gothic" w:hAnsi="Century Gothic"/>
          <w:sz w:val="20"/>
          <w:szCs w:val="20"/>
        </w:rPr>
        <w:t xml:space="preserve"> X 100</w:t>
      </w:r>
      <w:r w:rsidR="00B103A1" w:rsidRPr="00E72D7C">
        <w:rPr>
          <w:rFonts w:ascii="Century Gothic" w:hAnsi="Century Gothic"/>
          <w:sz w:val="20"/>
          <w:szCs w:val="20"/>
        </w:rPr>
        <w:t>.</w:t>
      </w:r>
    </w:p>
    <w:p w:rsidR="002812E4" w:rsidRPr="00E72D7C" w:rsidRDefault="00E72D7C" w:rsidP="00E72D7C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                                            </w:t>
      </w:r>
      <w:r w:rsidR="002812E4" w:rsidRPr="00E72D7C">
        <w:rPr>
          <w:rFonts w:ascii="Century Gothic" w:hAnsi="Century Gothic"/>
          <w:sz w:val="20"/>
          <w:szCs w:val="20"/>
        </w:rPr>
        <w:t>LTB</w:t>
      </w:r>
    </w:p>
    <w:p w:rsidR="00A427CA" w:rsidRDefault="00A427CA" w:rsidP="007955AF">
      <w:pPr>
        <w:spacing w:after="0" w:line="240" w:lineRule="auto"/>
        <w:contextualSpacing/>
        <w:rPr>
          <w:rFonts w:ascii="Century Gothic" w:hAnsi="Century Gothic"/>
          <w:sz w:val="20"/>
          <w:szCs w:val="20"/>
        </w:rPr>
      </w:pPr>
    </w:p>
    <w:p w:rsidR="00A427CA" w:rsidRPr="00E72D7C" w:rsidRDefault="00E72D7C" w:rsidP="00E72D7C">
      <w:pPr>
        <w:tabs>
          <w:tab w:val="left" w:pos="3356"/>
        </w:tabs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                                                     </w:t>
      </w:r>
      <w:r w:rsidR="00B103A1" w:rsidRPr="00E72D7C">
        <w:rPr>
          <w:rFonts w:ascii="Century Gothic" w:hAnsi="Century Gothic"/>
          <w:sz w:val="20"/>
          <w:szCs w:val="20"/>
        </w:rPr>
        <w:t>Preference Dividend</w:t>
      </w:r>
    </w:p>
    <w:p w:rsidR="00A427CA" w:rsidRPr="00E72D7C" w:rsidRDefault="00A427CA" w:rsidP="00E72D7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81A31"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  <w:t>Cost of Preference Capital</w:t>
      </w:r>
      <w:r w:rsidRPr="00E72D7C">
        <w:rPr>
          <w:rFonts w:ascii="Century Gothic" w:hAnsi="Century Gothic"/>
          <w:sz w:val="20"/>
          <w:szCs w:val="20"/>
        </w:rPr>
        <w:t xml:space="preserve"> = -------------------------------------------</w:t>
      </w:r>
      <w:r w:rsidR="00B103A1" w:rsidRPr="00E72D7C">
        <w:rPr>
          <w:rFonts w:ascii="Century Gothic" w:hAnsi="Century Gothic"/>
          <w:sz w:val="20"/>
          <w:szCs w:val="20"/>
        </w:rPr>
        <w:t>.</w:t>
      </w:r>
      <w:r w:rsidRPr="00E72D7C">
        <w:rPr>
          <w:rFonts w:ascii="Century Gothic" w:hAnsi="Century Gothic"/>
          <w:sz w:val="20"/>
          <w:szCs w:val="20"/>
        </w:rPr>
        <w:t xml:space="preserve"> </w:t>
      </w:r>
    </w:p>
    <w:p w:rsidR="00A427CA" w:rsidRPr="00E72D7C" w:rsidRDefault="00E72D7C" w:rsidP="00E72D7C">
      <w:pPr>
        <w:pStyle w:val="ListParagraph"/>
        <w:spacing w:after="0" w:line="240" w:lineRule="auto"/>
        <w:ind w:left="360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</w:t>
      </w:r>
      <w:r w:rsidR="00B103A1" w:rsidRPr="00E72D7C">
        <w:rPr>
          <w:rFonts w:ascii="Century Gothic" w:hAnsi="Century Gothic"/>
          <w:sz w:val="20"/>
          <w:szCs w:val="20"/>
        </w:rPr>
        <w:t>Preference Share Capital</w:t>
      </w:r>
    </w:p>
    <w:p w:rsidR="00B103A1" w:rsidRDefault="00B103A1" w:rsidP="007955AF">
      <w:pPr>
        <w:spacing w:after="0" w:line="240" w:lineRule="auto"/>
        <w:contextualSpacing/>
        <w:rPr>
          <w:rFonts w:ascii="Century Gothic" w:hAnsi="Century Gothic"/>
          <w:sz w:val="20"/>
          <w:szCs w:val="20"/>
        </w:rPr>
      </w:pPr>
    </w:p>
    <w:p w:rsidR="00B103A1" w:rsidRDefault="00B103A1" w:rsidP="00E72D7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81A31"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  <w:t xml:space="preserve">Cost of </w:t>
      </w:r>
      <w:r w:rsidR="00E72D7C" w:rsidRPr="00381A31"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  <w:t>Eq</w:t>
      </w:r>
      <w:r w:rsidR="00CC2D06" w:rsidRPr="00381A31"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  <w:t>u</w:t>
      </w:r>
      <w:r w:rsidR="00E72D7C" w:rsidRPr="00381A31"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  <w:t>ity</w:t>
      </w:r>
      <w:r w:rsidR="00CC2D06">
        <w:rPr>
          <w:rFonts w:ascii="Century Gothic" w:hAnsi="Century Gothic"/>
          <w:sz w:val="20"/>
          <w:szCs w:val="20"/>
        </w:rPr>
        <w:t xml:space="preserve"> (K</w:t>
      </w:r>
      <w:r w:rsidR="00CC2D06" w:rsidRPr="00CC2D06">
        <w:rPr>
          <w:rFonts w:ascii="Century Gothic" w:hAnsi="Century Gothic"/>
          <w:sz w:val="20"/>
          <w:szCs w:val="20"/>
          <w:vertAlign w:val="subscript"/>
        </w:rPr>
        <w:t>e</w:t>
      </w:r>
      <w:r w:rsidR="00CC2D06">
        <w:rPr>
          <w:rFonts w:ascii="Century Gothic" w:hAnsi="Century Gothic"/>
          <w:sz w:val="20"/>
          <w:szCs w:val="20"/>
        </w:rPr>
        <w:t>) = R</w:t>
      </w:r>
      <w:r w:rsidR="00CC2D06" w:rsidRPr="00CC2D06">
        <w:rPr>
          <w:rFonts w:ascii="Century Gothic" w:hAnsi="Century Gothic"/>
          <w:sz w:val="20"/>
          <w:szCs w:val="20"/>
          <w:vertAlign w:val="subscript"/>
        </w:rPr>
        <w:t>f</w:t>
      </w:r>
      <w:r w:rsidR="00CC2D06">
        <w:rPr>
          <w:rFonts w:ascii="Century Gothic" w:hAnsi="Century Gothic"/>
          <w:sz w:val="20"/>
          <w:szCs w:val="20"/>
        </w:rPr>
        <w:t xml:space="preserve"> + </w:t>
      </w:r>
      <w:r w:rsidR="00CC2D06" w:rsidRPr="006C3832">
        <w:rPr>
          <w:rFonts w:ascii="Viner Hand ITC" w:hAnsi="Viner Hand ITC"/>
          <w:b/>
          <w:sz w:val="20"/>
          <w:szCs w:val="20"/>
        </w:rPr>
        <w:t>B</w:t>
      </w:r>
      <w:r w:rsidR="006C3832">
        <w:rPr>
          <w:rFonts w:ascii="Viner Hand ITC" w:hAnsi="Viner Hand ITC"/>
          <w:b/>
          <w:sz w:val="20"/>
          <w:szCs w:val="20"/>
        </w:rPr>
        <w:t>eta</w:t>
      </w:r>
      <w:r w:rsidR="00CC2D06">
        <w:rPr>
          <w:rFonts w:ascii="Century Gothic" w:hAnsi="Century Gothic"/>
          <w:sz w:val="20"/>
          <w:szCs w:val="20"/>
        </w:rPr>
        <w:t xml:space="preserve"> (R</w:t>
      </w:r>
      <w:r w:rsidR="00CC2D06" w:rsidRPr="00CC2D06">
        <w:rPr>
          <w:rFonts w:ascii="Century Gothic" w:hAnsi="Century Gothic"/>
          <w:sz w:val="20"/>
          <w:szCs w:val="20"/>
          <w:vertAlign w:val="subscript"/>
        </w:rPr>
        <w:t>m</w:t>
      </w:r>
      <w:r w:rsidR="00CC2D06">
        <w:rPr>
          <w:rFonts w:ascii="Century Gothic" w:hAnsi="Century Gothic"/>
          <w:sz w:val="20"/>
          <w:szCs w:val="20"/>
        </w:rPr>
        <w:t xml:space="preserve"> – R</w:t>
      </w:r>
      <w:r w:rsidR="00CC2D06" w:rsidRPr="00CC2D06">
        <w:rPr>
          <w:rFonts w:ascii="Century Gothic" w:hAnsi="Century Gothic"/>
          <w:sz w:val="20"/>
          <w:szCs w:val="20"/>
          <w:vertAlign w:val="subscript"/>
        </w:rPr>
        <w:t>f</w:t>
      </w:r>
      <w:r w:rsidR="00CC2D06">
        <w:rPr>
          <w:rFonts w:ascii="Century Gothic" w:hAnsi="Century Gothic"/>
          <w:sz w:val="20"/>
          <w:szCs w:val="20"/>
        </w:rPr>
        <w:t>)</w:t>
      </w:r>
    </w:p>
    <w:p w:rsidR="006C3832" w:rsidRDefault="006C3832" w:rsidP="00E72D7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81A31"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  <w:t>Cost of Retained Earnings</w:t>
      </w:r>
      <w:r>
        <w:rPr>
          <w:rFonts w:ascii="Century Gothic" w:hAnsi="Century Gothic"/>
          <w:sz w:val="20"/>
          <w:szCs w:val="20"/>
        </w:rPr>
        <w:t xml:space="preserve"> (K</w:t>
      </w:r>
      <w:r w:rsidRPr="006C3832">
        <w:rPr>
          <w:rFonts w:ascii="Century Gothic" w:hAnsi="Century Gothic"/>
          <w:sz w:val="20"/>
          <w:szCs w:val="20"/>
          <w:vertAlign w:val="subscript"/>
        </w:rPr>
        <w:t>r</w:t>
      </w:r>
      <w:r>
        <w:rPr>
          <w:rFonts w:ascii="Century Gothic" w:hAnsi="Century Gothic"/>
          <w:sz w:val="20"/>
          <w:szCs w:val="20"/>
        </w:rPr>
        <w:t>)</w:t>
      </w:r>
    </w:p>
    <w:p w:rsidR="007521A0" w:rsidRPr="00381A31" w:rsidRDefault="007521A0" w:rsidP="00E72D7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</w:pPr>
      <w:r w:rsidRPr="00381A31"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  <w:t>Beta</w:t>
      </w:r>
    </w:p>
    <w:p w:rsidR="007521A0" w:rsidRPr="007521A0" w:rsidRDefault="007521A0" w:rsidP="00E72D7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81A31"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  <w:t>Equity Risk Premium</w:t>
      </w:r>
      <w:r>
        <w:rPr>
          <w:rFonts w:ascii="Viner Hand ITC" w:hAnsi="Viner Hand ITC"/>
          <w:sz w:val="20"/>
          <w:szCs w:val="20"/>
        </w:rPr>
        <w:t xml:space="preserve"> = </w:t>
      </w:r>
      <w:r>
        <w:rPr>
          <w:rFonts w:ascii="Century Gothic" w:hAnsi="Century Gothic"/>
          <w:sz w:val="20"/>
          <w:szCs w:val="20"/>
        </w:rPr>
        <w:t>R</w:t>
      </w:r>
      <w:r w:rsidRPr="00CC2D06">
        <w:rPr>
          <w:rFonts w:ascii="Century Gothic" w:hAnsi="Century Gothic"/>
          <w:sz w:val="20"/>
          <w:szCs w:val="20"/>
          <w:vertAlign w:val="subscript"/>
        </w:rPr>
        <w:t>m</w:t>
      </w:r>
      <w:r>
        <w:rPr>
          <w:rFonts w:ascii="Century Gothic" w:hAnsi="Century Gothic"/>
          <w:sz w:val="20"/>
          <w:szCs w:val="20"/>
        </w:rPr>
        <w:t xml:space="preserve"> – R</w:t>
      </w:r>
      <w:r w:rsidRPr="00CC2D06">
        <w:rPr>
          <w:rFonts w:ascii="Century Gothic" w:hAnsi="Century Gothic"/>
          <w:sz w:val="20"/>
          <w:szCs w:val="20"/>
          <w:vertAlign w:val="subscript"/>
        </w:rPr>
        <w:t>f</w:t>
      </w:r>
    </w:p>
    <w:p w:rsidR="007521A0" w:rsidRDefault="0025150B" w:rsidP="00E72D7C">
      <w:pPr>
        <w:pStyle w:val="ListParagraph"/>
        <w:numPr>
          <w:ilvl w:val="0"/>
          <w:numId w:val="4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381A31"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  <w:t>Market ROR</w:t>
      </w:r>
      <w:r w:rsidRPr="0025150B">
        <w:rPr>
          <w:rFonts w:ascii="Century Gothic" w:hAnsi="Century Gothic"/>
          <w:sz w:val="20"/>
          <w:szCs w:val="20"/>
        </w:rPr>
        <w:t xml:space="preserve"> (</w:t>
      </w:r>
      <w:r>
        <w:rPr>
          <w:rFonts w:ascii="Century Gothic" w:hAnsi="Century Gothic"/>
          <w:sz w:val="20"/>
          <w:szCs w:val="20"/>
        </w:rPr>
        <w:t>R</w:t>
      </w:r>
      <w:r w:rsidRPr="00CC2D06">
        <w:rPr>
          <w:rFonts w:ascii="Century Gothic" w:hAnsi="Century Gothic"/>
          <w:sz w:val="20"/>
          <w:szCs w:val="20"/>
          <w:vertAlign w:val="subscript"/>
        </w:rPr>
        <w:t>m</w:t>
      </w:r>
      <w:r>
        <w:rPr>
          <w:rFonts w:ascii="Century Gothic" w:hAnsi="Century Gothic"/>
          <w:sz w:val="20"/>
          <w:szCs w:val="20"/>
          <w:vertAlign w:val="subscript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) = </w:t>
      </w:r>
    </w:p>
    <w:p w:rsidR="008C58F1" w:rsidRDefault="008C58F1" w:rsidP="008C58F1">
      <w:pPr>
        <w:pStyle w:val="ListParagraph"/>
        <w:spacing w:after="0" w:line="240" w:lineRule="auto"/>
        <w:rPr>
          <w:rFonts w:ascii="Century Gothic" w:hAnsi="Century Gothic"/>
          <w:sz w:val="20"/>
          <w:szCs w:val="20"/>
        </w:rPr>
      </w:pPr>
    </w:p>
    <w:p w:rsidR="0025150B" w:rsidRDefault="0025150B" w:rsidP="0025150B">
      <w:pPr>
        <w:pStyle w:val="ListParagraph"/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Stock exchange index {</w:t>
      </w:r>
      <w:r w:rsidR="00217480">
        <w:rPr>
          <w:rFonts w:ascii="Century Gothic" w:hAnsi="Century Gothic"/>
          <w:sz w:val="20"/>
          <w:szCs w:val="20"/>
        </w:rPr>
        <w:t>at the end of the year – at the beginning of the year}</w:t>
      </w:r>
    </w:p>
    <w:p w:rsidR="00217480" w:rsidRDefault="00217480" w:rsidP="0025150B">
      <w:pPr>
        <w:pStyle w:val="ListParagraph"/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----------------------------------------------------------------------------------------------------------------</w:t>
      </w:r>
    </w:p>
    <w:p w:rsidR="00217480" w:rsidRDefault="008C58F1" w:rsidP="0025150B">
      <w:pPr>
        <w:pStyle w:val="ListParagraph"/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Stock exchange index at the beginning of the year.</w:t>
      </w:r>
    </w:p>
    <w:p w:rsidR="00D62DAD" w:rsidRDefault="00D62DAD" w:rsidP="0025150B">
      <w:pPr>
        <w:pStyle w:val="ListParagraph"/>
        <w:spacing w:after="0" w:line="240" w:lineRule="auto"/>
        <w:rPr>
          <w:rFonts w:ascii="Century Gothic" w:hAnsi="Century Gothic"/>
          <w:sz w:val="20"/>
          <w:szCs w:val="20"/>
        </w:rPr>
      </w:pPr>
    </w:p>
    <w:p w:rsidR="008C58F1" w:rsidRDefault="00D62DAD" w:rsidP="004341BB">
      <w:pPr>
        <w:pStyle w:val="ListParagraph"/>
        <w:numPr>
          <w:ilvl w:val="0"/>
          <w:numId w:val="5"/>
        </w:num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381A31">
        <w:rPr>
          <w:rFonts w:ascii="Century Gothic" w:hAnsi="Century Gothic"/>
          <w:b/>
          <w:i/>
          <w:color w:val="548DD4" w:themeColor="text2" w:themeTint="99"/>
          <w:sz w:val="20"/>
          <w:szCs w:val="20"/>
        </w:rPr>
        <w:t>Overall cost of capital</w:t>
      </w:r>
      <w:r>
        <w:rPr>
          <w:rFonts w:ascii="Century Gothic" w:hAnsi="Century Gothic"/>
          <w:sz w:val="20"/>
          <w:szCs w:val="20"/>
        </w:rPr>
        <w:t xml:space="preserve"> = </w:t>
      </w:r>
    </w:p>
    <w:p w:rsidR="00D62DAD" w:rsidRDefault="00D62DAD" w:rsidP="0025150B">
      <w:pPr>
        <w:pStyle w:val="ListParagraph"/>
        <w:spacing w:after="0" w:line="240" w:lineRule="auto"/>
        <w:rPr>
          <w:rFonts w:ascii="Century Gothic" w:hAnsi="Century Gothic"/>
          <w:sz w:val="20"/>
          <w:szCs w:val="20"/>
        </w:rPr>
      </w:pPr>
    </w:p>
    <w:p w:rsidR="00D62DAD" w:rsidRDefault="00897D76" w:rsidP="00896A0C">
      <w:pPr>
        <w:pStyle w:val="ListParagraph"/>
        <w:tabs>
          <w:tab w:val="left" w:pos="5575"/>
        </w:tabs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Debt</w:t>
      </w:r>
      <w:r w:rsidR="00C85637">
        <w:rPr>
          <w:rFonts w:ascii="Century Gothic" w:hAnsi="Century Gothic"/>
          <w:sz w:val="20"/>
          <w:szCs w:val="20"/>
        </w:rPr>
        <w:t xml:space="preserve">                               PSC</w:t>
      </w:r>
      <w:r w:rsidR="00896A0C">
        <w:rPr>
          <w:rFonts w:ascii="Century Gothic" w:hAnsi="Century Gothic"/>
          <w:sz w:val="20"/>
          <w:szCs w:val="20"/>
        </w:rPr>
        <w:tab/>
        <w:t xml:space="preserve">   Equity</w:t>
      </w:r>
    </w:p>
    <w:p w:rsidR="00897D76" w:rsidRDefault="00897D76" w:rsidP="0025150B">
      <w:pPr>
        <w:pStyle w:val="ListParagraph"/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</w:t>
      </w:r>
      <w:r w:rsidRPr="00897D76">
        <w:rPr>
          <w:rFonts w:ascii="Century Gothic" w:hAnsi="Century Gothic"/>
          <w:sz w:val="20"/>
          <w:szCs w:val="20"/>
          <w:vertAlign w:val="subscript"/>
        </w:rPr>
        <w:t>d</w:t>
      </w:r>
      <w:r>
        <w:rPr>
          <w:rFonts w:ascii="Century Gothic" w:hAnsi="Century Gothic"/>
          <w:sz w:val="20"/>
          <w:szCs w:val="20"/>
        </w:rPr>
        <w:t xml:space="preserve">  </w:t>
      </w:r>
      <w:r w:rsidR="00334B7A">
        <w:rPr>
          <w:rFonts w:ascii="Century Gothic" w:hAnsi="Century Gothic"/>
          <w:sz w:val="20"/>
          <w:szCs w:val="20"/>
        </w:rPr>
        <w:t>X</w:t>
      </w:r>
      <w:r>
        <w:rPr>
          <w:rFonts w:ascii="Century Gothic" w:hAnsi="Century Gothic"/>
          <w:sz w:val="20"/>
          <w:szCs w:val="20"/>
        </w:rPr>
        <w:t xml:space="preserve">   ---------------     +    </w:t>
      </w:r>
      <w:r w:rsidR="00582C9F">
        <w:rPr>
          <w:rFonts w:ascii="Century Gothic" w:hAnsi="Century Gothic"/>
          <w:sz w:val="20"/>
          <w:szCs w:val="20"/>
        </w:rPr>
        <w:t>K</w:t>
      </w:r>
      <w:r w:rsidR="00582C9F" w:rsidRPr="00582C9F">
        <w:rPr>
          <w:rFonts w:ascii="Century Gothic" w:hAnsi="Century Gothic"/>
          <w:sz w:val="20"/>
          <w:szCs w:val="20"/>
          <w:vertAlign w:val="subscript"/>
        </w:rPr>
        <w:t>p</w:t>
      </w:r>
      <w:r w:rsidR="00582C9F">
        <w:rPr>
          <w:rFonts w:ascii="Century Gothic" w:hAnsi="Century Gothic"/>
          <w:sz w:val="20"/>
          <w:szCs w:val="20"/>
          <w:vertAlign w:val="subscript"/>
        </w:rPr>
        <w:t xml:space="preserve">  </w:t>
      </w:r>
      <w:r w:rsidR="00334B7A" w:rsidRPr="00334B7A">
        <w:rPr>
          <w:rFonts w:ascii="Century Gothic" w:hAnsi="Century Gothic"/>
          <w:sz w:val="20"/>
          <w:szCs w:val="20"/>
        </w:rPr>
        <w:t>X</w:t>
      </w:r>
      <w:r w:rsidR="00582C9F" w:rsidRPr="00334B7A">
        <w:rPr>
          <w:rFonts w:ascii="Century Gothic" w:hAnsi="Century Gothic"/>
          <w:sz w:val="20"/>
          <w:szCs w:val="20"/>
        </w:rPr>
        <w:t xml:space="preserve"> </w:t>
      </w:r>
      <w:r w:rsidR="00C85637">
        <w:rPr>
          <w:rFonts w:ascii="Century Gothic" w:hAnsi="Century Gothic"/>
          <w:sz w:val="20"/>
          <w:szCs w:val="20"/>
        </w:rPr>
        <w:t>-----------------</w:t>
      </w:r>
      <w:r w:rsidR="00896A0C">
        <w:rPr>
          <w:rFonts w:ascii="Century Gothic" w:hAnsi="Century Gothic"/>
          <w:sz w:val="20"/>
          <w:szCs w:val="20"/>
        </w:rPr>
        <w:t xml:space="preserve">    +  K</w:t>
      </w:r>
      <w:r w:rsidR="00896A0C" w:rsidRPr="00CC2D06">
        <w:rPr>
          <w:rFonts w:ascii="Century Gothic" w:hAnsi="Century Gothic"/>
          <w:sz w:val="20"/>
          <w:szCs w:val="20"/>
          <w:vertAlign w:val="subscript"/>
        </w:rPr>
        <w:t>e</w:t>
      </w:r>
      <w:r w:rsidR="00896A0C">
        <w:rPr>
          <w:rFonts w:ascii="Century Gothic" w:hAnsi="Century Gothic"/>
          <w:sz w:val="20"/>
          <w:szCs w:val="20"/>
          <w:vertAlign w:val="subscript"/>
        </w:rPr>
        <w:t xml:space="preserve">   </w:t>
      </w:r>
      <w:r w:rsidR="00896A0C" w:rsidRPr="00334B7A">
        <w:rPr>
          <w:rFonts w:ascii="Century Gothic" w:hAnsi="Century Gothic"/>
          <w:sz w:val="20"/>
          <w:szCs w:val="20"/>
        </w:rPr>
        <w:t>X</w:t>
      </w:r>
      <w:r w:rsidR="00896A0C">
        <w:rPr>
          <w:rFonts w:ascii="Century Gothic" w:hAnsi="Century Gothic"/>
          <w:sz w:val="20"/>
          <w:szCs w:val="20"/>
        </w:rPr>
        <w:t xml:space="preserve">  ----------------</w:t>
      </w:r>
    </w:p>
    <w:p w:rsidR="00897D76" w:rsidRDefault="00897D76" w:rsidP="00896A0C">
      <w:pPr>
        <w:pStyle w:val="ListParagraph"/>
        <w:tabs>
          <w:tab w:val="left" w:pos="3514"/>
          <w:tab w:val="left" w:pos="5641"/>
        </w:tabs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Total funds</w:t>
      </w:r>
      <w:r w:rsidR="00C85637">
        <w:rPr>
          <w:rFonts w:ascii="Century Gothic" w:hAnsi="Century Gothic"/>
          <w:sz w:val="20"/>
          <w:szCs w:val="20"/>
        </w:rPr>
        <w:tab/>
        <w:t>Total funds</w:t>
      </w:r>
      <w:r w:rsidR="00896A0C">
        <w:rPr>
          <w:rFonts w:ascii="Century Gothic" w:hAnsi="Century Gothic"/>
          <w:sz w:val="20"/>
          <w:szCs w:val="20"/>
        </w:rPr>
        <w:tab/>
        <w:t>Total funds</w:t>
      </w:r>
    </w:p>
    <w:p w:rsidR="000E1730" w:rsidRDefault="000E1730" w:rsidP="00896A0C">
      <w:pPr>
        <w:pStyle w:val="ListParagraph"/>
        <w:tabs>
          <w:tab w:val="left" w:pos="3514"/>
          <w:tab w:val="left" w:pos="5641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p w:rsidR="000E1730" w:rsidRPr="007521A0" w:rsidRDefault="000E1730" w:rsidP="00896A0C">
      <w:pPr>
        <w:pStyle w:val="ListParagraph"/>
        <w:tabs>
          <w:tab w:val="left" w:pos="3514"/>
          <w:tab w:val="left" w:pos="5641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4E58A9">
        <w:rPr>
          <w:rFonts w:ascii="Century Gothic" w:hAnsi="Century Gothic"/>
          <w:b/>
          <w:i/>
          <w:color w:val="5F497A" w:themeColor="accent4" w:themeShade="BF"/>
          <w:sz w:val="20"/>
          <w:szCs w:val="20"/>
        </w:rPr>
        <w:t>Total Funds = Debt + Preference Capital + Equity Funds</w:t>
      </w:r>
      <w:r>
        <w:rPr>
          <w:rFonts w:ascii="Century Gothic" w:hAnsi="Century Gothic"/>
          <w:sz w:val="20"/>
          <w:szCs w:val="20"/>
        </w:rPr>
        <w:t>.</w:t>
      </w:r>
    </w:p>
    <w:sectPr w:rsidR="000E1730" w:rsidRPr="007521A0" w:rsidSect="000A1F4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416" w:rsidRDefault="00123416" w:rsidP="00A736EE">
      <w:pPr>
        <w:spacing w:after="0" w:line="240" w:lineRule="auto"/>
      </w:pPr>
      <w:r>
        <w:separator/>
      </w:r>
    </w:p>
  </w:endnote>
  <w:endnote w:type="continuationSeparator" w:id="1">
    <w:p w:rsidR="00123416" w:rsidRDefault="00123416" w:rsidP="00A7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6266"/>
      <w:docPartObj>
        <w:docPartGallery w:val="Page Numbers (Bottom of Page)"/>
        <w:docPartUnique/>
      </w:docPartObj>
    </w:sdtPr>
    <w:sdtContent>
      <w:p w:rsidR="00A736EE" w:rsidRDefault="000A1F4F">
        <w:pPr>
          <w:pStyle w:val="Footer"/>
        </w:pPr>
        <w:r w:rsidRPr="000A1F4F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2049" type="#_x0000_t98" style="position:absolute;margin-left:0;margin-top:0;width:52.1pt;height:39.6pt;rotation:360;z-index:251660288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2049">
                <w:txbxContent>
                  <w:p w:rsidR="00A736EE" w:rsidRDefault="000A1F4F">
                    <w:pPr>
                      <w:jc w:val="center"/>
                      <w:rPr>
                        <w:color w:val="808080" w:themeColor="text1" w:themeTint="7F"/>
                      </w:rPr>
                    </w:pPr>
                    <w:fldSimple w:instr=" PAGE    \* MERGEFORMAT ">
                      <w:r w:rsidR="004E58A9" w:rsidRPr="004E58A9">
                        <w:rPr>
                          <w:noProof/>
                          <w:color w:val="808080" w:themeColor="text1" w:themeTint="7F"/>
                        </w:rPr>
                        <w:t>2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416" w:rsidRDefault="00123416" w:rsidP="00A736EE">
      <w:pPr>
        <w:spacing w:after="0" w:line="240" w:lineRule="auto"/>
      </w:pPr>
      <w:r>
        <w:separator/>
      </w:r>
    </w:p>
  </w:footnote>
  <w:footnote w:type="continuationSeparator" w:id="1">
    <w:p w:rsidR="00123416" w:rsidRDefault="00123416" w:rsidP="00A73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9pt;height:12.55pt" o:bullet="t">
        <v:imagedata r:id="rId1" o:title="BD21302_"/>
      </v:shape>
    </w:pict>
  </w:numPicBullet>
  <w:numPicBullet w:numPicBulletId="1">
    <w:pict>
      <v:shape id="_x0000_i1079" type="#_x0000_t75" style="width:12.55pt;height:12.55pt" o:bullet="t">
        <v:imagedata r:id="rId2" o:title="BD21304_"/>
      </v:shape>
    </w:pict>
  </w:numPicBullet>
  <w:numPicBullet w:numPicBulletId="2">
    <w:pict>
      <v:shape id="_x0000_i1080" type="#_x0000_t75" style="width:9.9pt;height:9.9pt" o:bullet="t">
        <v:imagedata r:id="rId3" o:title="BD21298_"/>
      </v:shape>
    </w:pict>
  </w:numPicBullet>
  <w:numPicBullet w:numPicBulletId="3">
    <w:pict>
      <v:shape id="_x0000_i1081" type="#_x0000_t75" style="width:11.25pt;height:11.25pt" o:bullet="t">
        <v:imagedata r:id="rId4" o:title="BD14753_"/>
      </v:shape>
    </w:pict>
  </w:numPicBullet>
  <w:abstractNum w:abstractNumId="0">
    <w:nsid w:val="0F513F6E"/>
    <w:multiLevelType w:val="hybridMultilevel"/>
    <w:tmpl w:val="3BEE8854"/>
    <w:lvl w:ilvl="0" w:tplc="879839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D27AE"/>
    <w:multiLevelType w:val="hybridMultilevel"/>
    <w:tmpl w:val="E7B6E404"/>
    <w:lvl w:ilvl="0" w:tplc="51EC570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CB4C21"/>
    <w:multiLevelType w:val="hybridMultilevel"/>
    <w:tmpl w:val="BDE823BC"/>
    <w:lvl w:ilvl="0" w:tplc="6A98D4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CE7339"/>
    <w:multiLevelType w:val="hybridMultilevel"/>
    <w:tmpl w:val="4A0C417A"/>
    <w:lvl w:ilvl="0" w:tplc="5A749A64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554979"/>
    <w:multiLevelType w:val="hybridMultilevel"/>
    <w:tmpl w:val="F1A60F76"/>
    <w:lvl w:ilvl="0" w:tplc="5A749A64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20F0"/>
    <w:rsid w:val="000A1F4F"/>
    <w:rsid w:val="000B2703"/>
    <w:rsid w:val="000E1730"/>
    <w:rsid w:val="000F0B76"/>
    <w:rsid w:val="00123416"/>
    <w:rsid w:val="00217480"/>
    <w:rsid w:val="0025150B"/>
    <w:rsid w:val="002812E4"/>
    <w:rsid w:val="00282B09"/>
    <w:rsid w:val="00295E47"/>
    <w:rsid w:val="002F58C4"/>
    <w:rsid w:val="00334B7A"/>
    <w:rsid w:val="003606A0"/>
    <w:rsid w:val="00381A31"/>
    <w:rsid w:val="003E20F0"/>
    <w:rsid w:val="00417A46"/>
    <w:rsid w:val="004341BB"/>
    <w:rsid w:val="00435732"/>
    <w:rsid w:val="004E58A9"/>
    <w:rsid w:val="00507330"/>
    <w:rsid w:val="00537294"/>
    <w:rsid w:val="00537AE0"/>
    <w:rsid w:val="00582C9F"/>
    <w:rsid w:val="006369BC"/>
    <w:rsid w:val="006725F0"/>
    <w:rsid w:val="006C3832"/>
    <w:rsid w:val="007521A0"/>
    <w:rsid w:val="00766A82"/>
    <w:rsid w:val="007955AF"/>
    <w:rsid w:val="007A4E33"/>
    <w:rsid w:val="00815BA9"/>
    <w:rsid w:val="00875EDE"/>
    <w:rsid w:val="00896A0C"/>
    <w:rsid w:val="00897D76"/>
    <w:rsid w:val="008C58F1"/>
    <w:rsid w:val="008D0A9D"/>
    <w:rsid w:val="009B1D81"/>
    <w:rsid w:val="00A259B2"/>
    <w:rsid w:val="00A427CA"/>
    <w:rsid w:val="00A736EE"/>
    <w:rsid w:val="00B103A1"/>
    <w:rsid w:val="00BC400E"/>
    <w:rsid w:val="00C85637"/>
    <w:rsid w:val="00CC2D06"/>
    <w:rsid w:val="00D62DAD"/>
    <w:rsid w:val="00DD0718"/>
    <w:rsid w:val="00DF1037"/>
    <w:rsid w:val="00E31DC4"/>
    <w:rsid w:val="00E72D7C"/>
    <w:rsid w:val="00EA3271"/>
    <w:rsid w:val="00F322DF"/>
    <w:rsid w:val="00F4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D81"/>
    <w:pPr>
      <w:ind w:left="720"/>
      <w:contextualSpacing/>
    </w:pPr>
  </w:style>
  <w:style w:type="table" w:styleId="TableGrid">
    <w:name w:val="Table Grid"/>
    <w:basedOn w:val="TableNormal"/>
    <w:uiPriority w:val="59"/>
    <w:rsid w:val="000F0B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73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36EE"/>
  </w:style>
  <w:style w:type="paragraph" w:styleId="Footer">
    <w:name w:val="footer"/>
    <w:basedOn w:val="Normal"/>
    <w:link w:val="FooterChar"/>
    <w:uiPriority w:val="99"/>
    <w:semiHidden/>
    <w:unhideWhenUsed/>
    <w:rsid w:val="00A736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36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Cognizant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Sankaranarayanan</dc:creator>
  <cp:keywords/>
  <dc:description/>
  <cp:lastModifiedBy>Sankaranarayanan</cp:lastModifiedBy>
  <cp:revision>6</cp:revision>
  <dcterms:created xsi:type="dcterms:W3CDTF">2009-02-10T16:46:00Z</dcterms:created>
  <dcterms:modified xsi:type="dcterms:W3CDTF">2009-02-11T01:24:00Z</dcterms:modified>
</cp:coreProperties>
</file>