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15FE9" w:rsidP="00115FE9">
      <w:pPr>
        <w:jc w:val="center"/>
        <w:rPr>
          <w:rFonts w:ascii="Century Gothic" w:hAnsi="Century Gothic"/>
          <w:b/>
          <w:caps/>
          <w:emboss/>
          <w:color w:val="FF0000"/>
          <w:sz w:val="32"/>
          <w:szCs w:val="32"/>
        </w:rPr>
      </w:pPr>
      <w:r w:rsidRPr="00115FE9">
        <w:rPr>
          <w:rFonts w:ascii="Century Gothic" w:hAnsi="Century Gothic"/>
          <w:b/>
          <w:caps/>
          <w:emboss/>
          <w:color w:val="FF0000"/>
          <w:sz w:val="32"/>
          <w:szCs w:val="32"/>
        </w:rPr>
        <w:t>Guidance Note on Terms used in Financial Statements</w:t>
      </w:r>
    </w:p>
    <w:p w:rsidR="00840FE6" w:rsidRDefault="00840FE6" w:rsidP="00840FE6">
      <w:pPr>
        <w:rPr>
          <w:rFonts w:ascii="Century Gothic" w:hAnsi="Century Gothic"/>
          <w:b/>
          <w:caps/>
          <w:emboss/>
          <w:color w:val="7030A0"/>
          <w:sz w:val="24"/>
          <w:szCs w:val="24"/>
        </w:rPr>
      </w:pPr>
      <w:r w:rsidRPr="00840FE6">
        <w:rPr>
          <w:rFonts w:ascii="Century Gothic" w:hAnsi="Century Gothic"/>
          <w:b/>
          <w:caps/>
          <w:emboss/>
          <w:color w:val="7030A0"/>
          <w:sz w:val="24"/>
          <w:szCs w:val="24"/>
        </w:rPr>
        <w:t>RTP QUESTIONS:</w:t>
      </w:r>
    </w:p>
    <w:p w:rsidR="00840FE6" w:rsidRDefault="00840FE6" w:rsidP="00840FE6">
      <w:pPr>
        <w:rPr>
          <w:rFonts w:ascii="Century Gothic" w:hAnsi="Century Gothic"/>
          <w:b/>
          <w:caps/>
          <w:emboss/>
          <w:color w:val="006600"/>
        </w:rPr>
      </w:pPr>
      <w:r w:rsidRPr="00A04AC0">
        <w:rPr>
          <w:rFonts w:ascii="Century Gothic" w:hAnsi="Century Gothic"/>
          <w:b/>
          <w:caps/>
          <w:emboss/>
          <w:color w:val="006600"/>
        </w:rPr>
        <w:t>MEANING OF SUNDRY CREDITORS:</w:t>
      </w:r>
    </w:p>
    <w:p w:rsidR="004A5DA2" w:rsidRPr="00DF5518" w:rsidRDefault="00507F6B" w:rsidP="00DF5518">
      <w:pPr>
        <w:pStyle w:val="ListParagraph"/>
        <w:numPr>
          <w:ilvl w:val="0"/>
          <w:numId w:val="1"/>
        </w:numPr>
        <w:spacing w:line="240" w:lineRule="auto"/>
        <w:rPr>
          <w:rFonts w:ascii="Century Gothic" w:hAnsi="Century Gothic"/>
          <w:sz w:val="20"/>
        </w:rPr>
      </w:pPr>
      <w:r w:rsidRPr="00184799">
        <w:rPr>
          <w:rFonts w:ascii="Century Gothic" w:hAnsi="Century Gothic"/>
          <w:color w:val="FF33CC"/>
          <w:sz w:val="20"/>
        </w:rPr>
        <w:t xml:space="preserve">Part </w:t>
      </w:r>
      <w:r w:rsidR="00573F45" w:rsidRPr="00184799">
        <w:rPr>
          <w:rFonts w:ascii="Century Gothic" w:hAnsi="Century Gothic"/>
          <w:color w:val="FF33CC"/>
          <w:sz w:val="20"/>
        </w:rPr>
        <w:t>I</w:t>
      </w:r>
      <w:r w:rsidRPr="00184799">
        <w:rPr>
          <w:rFonts w:ascii="Century Gothic" w:hAnsi="Century Gothic"/>
          <w:color w:val="FF33CC"/>
          <w:sz w:val="20"/>
        </w:rPr>
        <w:t xml:space="preserve"> of</w:t>
      </w:r>
      <w:r w:rsidR="00573F45" w:rsidRPr="00184799">
        <w:rPr>
          <w:rFonts w:ascii="Century Gothic" w:hAnsi="Century Gothic"/>
          <w:color w:val="FF33CC"/>
          <w:sz w:val="20"/>
        </w:rPr>
        <w:t xml:space="preserve"> Schedule</w:t>
      </w:r>
      <w:r w:rsidR="004A5DA2" w:rsidRPr="00184799">
        <w:rPr>
          <w:rFonts w:ascii="Century Gothic" w:hAnsi="Century Gothic"/>
          <w:color w:val="FF33CC"/>
          <w:sz w:val="20"/>
        </w:rPr>
        <w:t xml:space="preserve"> VI of Companies Act, 1956</w:t>
      </w:r>
      <w:r w:rsidR="004A5DA2" w:rsidRPr="00DF5518">
        <w:rPr>
          <w:rFonts w:ascii="Century Gothic" w:hAnsi="Century Gothic"/>
          <w:sz w:val="20"/>
        </w:rPr>
        <w:t xml:space="preserve"> requires disclosure of Sundry Creditors under the head “Current Liabilities”.</w:t>
      </w:r>
    </w:p>
    <w:p w:rsidR="004A5DA2" w:rsidRPr="00DF5518" w:rsidRDefault="00E5484C" w:rsidP="00DF5518">
      <w:pPr>
        <w:pStyle w:val="ListParagraph"/>
        <w:numPr>
          <w:ilvl w:val="0"/>
          <w:numId w:val="1"/>
        </w:numPr>
        <w:spacing w:line="240" w:lineRule="auto"/>
        <w:rPr>
          <w:rFonts w:ascii="Century Gothic" w:hAnsi="Century Gothic"/>
          <w:sz w:val="20"/>
        </w:rPr>
      </w:pPr>
      <w:r w:rsidRPr="00DF5518">
        <w:rPr>
          <w:rFonts w:ascii="Century Gothic" w:hAnsi="Century Gothic"/>
          <w:sz w:val="20"/>
        </w:rPr>
        <w:t xml:space="preserve">Companies Act does not specify which creditors are to be included </w:t>
      </w:r>
      <w:r w:rsidR="00571B4B" w:rsidRPr="00DF5518">
        <w:rPr>
          <w:rFonts w:ascii="Century Gothic" w:hAnsi="Century Gothic"/>
          <w:sz w:val="20"/>
        </w:rPr>
        <w:t>in “Sundry Creditors”.</w:t>
      </w:r>
    </w:p>
    <w:p w:rsidR="00571B4B" w:rsidRPr="00184799" w:rsidRDefault="00571B4B" w:rsidP="00DF5518">
      <w:pPr>
        <w:pStyle w:val="ListParagraph"/>
        <w:numPr>
          <w:ilvl w:val="0"/>
          <w:numId w:val="1"/>
        </w:numPr>
        <w:spacing w:line="240" w:lineRule="auto"/>
        <w:rPr>
          <w:rFonts w:ascii="Century Gothic" w:hAnsi="Century Gothic"/>
          <w:color w:val="E36C0A" w:themeColor="accent6" w:themeShade="BF"/>
          <w:sz w:val="20"/>
        </w:rPr>
      </w:pPr>
      <w:r w:rsidRPr="00DF5518">
        <w:rPr>
          <w:rFonts w:ascii="Century Gothic" w:hAnsi="Century Gothic"/>
          <w:sz w:val="20"/>
        </w:rPr>
        <w:t xml:space="preserve">Guidance Note defines Sundry Creditors as </w:t>
      </w:r>
      <w:r w:rsidR="00477A08" w:rsidRPr="00184799">
        <w:rPr>
          <w:rFonts w:ascii="Century Gothic" w:hAnsi="Century Gothic"/>
          <w:color w:val="E36C0A" w:themeColor="accent6" w:themeShade="BF"/>
          <w:sz w:val="20"/>
        </w:rPr>
        <w:t>“the</w:t>
      </w:r>
      <w:r w:rsidRPr="00184799">
        <w:rPr>
          <w:rFonts w:ascii="Century Gothic" w:hAnsi="Century Gothic"/>
          <w:color w:val="E36C0A" w:themeColor="accent6" w:themeShade="BF"/>
          <w:sz w:val="20"/>
        </w:rPr>
        <w:t xml:space="preserve"> amount owed by the enterprise on account of goods purchased or services received or in respect of contractual agreement</w:t>
      </w:r>
      <w:r w:rsidR="00477A08" w:rsidRPr="00184799">
        <w:rPr>
          <w:rFonts w:ascii="Century Gothic" w:hAnsi="Century Gothic"/>
          <w:color w:val="E36C0A" w:themeColor="accent6" w:themeShade="BF"/>
          <w:sz w:val="20"/>
        </w:rPr>
        <w:t>”</w:t>
      </w:r>
      <w:r w:rsidRPr="00184799">
        <w:rPr>
          <w:rFonts w:ascii="Century Gothic" w:hAnsi="Century Gothic"/>
          <w:color w:val="E36C0A" w:themeColor="accent6" w:themeShade="BF"/>
          <w:sz w:val="20"/>
        </w:rPr>
        <w:t>.</w:t>
      </w:r>
    </w:p>
    <w:p w:rsidR="00A04AC0" w:rsidRDefault="004A5DA2" w:rsidP="0053227D">
      <w:pPr>
        <w:spacing w:line="240" w:lineRule="auto"/>
        <w:contextualSpacing/>
        <w:rPr>
          <w:rFonts w:ascii="Century Gothic" w:hAnsi="Century Gothic"/>
          <w:b/>
          <w:caps/>
          <w:emboss/>
          <w:color w:val="006600"/>
        </w:rPr>
      </w:pPr>
      <w:r>
        <w:rPr>
          <w:rFonts w:ascii="Century Gothic" w:hAnsi="Century Gothic"/>
          <w:sz w:val="20"/>
        </w:rPr>
        <w:t xml:space="preserve"> </w:t>
      </w:r>
      <w:r w:rsidR="00477A08" w:rsidRPr="00477A08">
        <w:rPr>
          <w:rFonts w:ascii="Century Gothic" w:hAnsi="Century Gothic"/>
          <w:b/>
          <w:caps/>
          <w:emboss/>
          <w:color w:val="006600"/>
        </w:rPr>
        <w:t>TREATMENT OF DUES TO EMPLOYEES TOWARDS SALARIES:</w:t>
      </w:r>
    </w:p>
    <w:p w:rsidR="00830A68" w:rsidRDefault="00007099" w:rsidP="00830A68">
      <w:pPr>
        <w:spacing w:line="240" w:lineRule="auto"/>
        <w:contextualSpacing/>
        <w:rPr>
          <w:rFonts w:ascii="Century Gothic" w:hAnsi="Century Gothic"/>
          <w:sz w:val="20"/>
        </w:rPr>
      </w:pPr>
      <w:r>
        <w:rPr>
          <w:rFonts w:ascii="Century Gothic" w:hAnsi="Century Gothic"/>
          <w:sz w:val="20"/>
        </w:rPr>
        <w:t xml:space="preserve">Salaries due to employees – </w:t>
      </w:r>
    </w:p>
    <w:p w:rsidR="00DF5518" w:rsidRPr="005D2AF3" w:rsidRDefault="00007099" w:rsidP="005D2AF3">
      <w:pPr>
        <w:pStyle w:val="ListParagraph"/>
        <w:numPr>
          <w:ilvl w:val="0"/>
          <w:numId w:val="2"/>
        </w:numPr>
        <w:spacing w:line="240" w:lineRule="auto"/>
        <w:rPr>
          <w:rFonts w:ascii="Century Gothic" w:hAnsi="Century Gothic"/>
          <w:sz w:val="20"/>
        </w:rPr>
      </w:pPr>
      <w:r w:rsidRPr="00E70E06">
        <w:rPr>
          <w:rFonts w:ascii="Century Gothic" w:hAnsi="Century Gothic"/>
          <w:b/>
          <w:i/>
          <w:color w:val="31849B" w:themeColor="accent5" w:themeShade="BF"/>
          <w:sz w:val="20"/>
        </w:rPr>
        <w:t>Included in Sundry Creditors</w:t>
      </w:r>
      <w:r w:rsidRPr="005D2AF3">
        <w:rPr>
          <w:rFonts w:ascii="Century Gothic" w:hAnsi="Century Gothic"/>
          <w:sz w:val="20"/>
        </w:rPr>
        <w:t xml:space="preserve"> since they are in respect of ‘Contractual obligation</w:t>
      </w:r>
      <w:r w:rsidR="00830A68" w:rsidRPr="005D2AF3">
        <w:rPr>
          <w:rFonts w:ascii="Century Gothic" w:hAnsi="Century Gothic"/>
          <w:sz w:val="20"/>
        </w:rPr>
        <w:t>s</w:t>
      </w:r>
      <w:r w:rsidRPr="005D2AF3">
        <w:rPr>
          <w:rFonts w:ascii="Century Gothic" w:hAnsi="Century Gothic"/>
          <w:sz w:val="20"/>
        </w:rPr>
        <w:t>’</w:t>
      </w:r>
      <w:r w:rsidR="00830A68" w:rsidRPr="005D2AF3">
        <w:rPr>
          <w:rFonts w:ascii="Century Gothic" w:hAnsi="Century Gothic"/>
          <w:sz w:val="20"/>
        </w:rPr>
        <w:t>.</w:t>
      </w:r>
    </w:p>
    <w:p w:rsidR="00830A68" w:rsidRPr="005D2AF3" w:rsidRDefault="00830A68" w:rsidP="005D2AF3">
      <w:pPr>
        <w:pStyle w:val="ListParagraph"/>
        <w:numPr>
          <w:ilvl w:val="0"/>
          <w:numId w:val="2"/>
        </w:numPr>
        <w:spacing w:line="240" w:lineRule="auto"/>
        <w:rPr>
          <w:rFonts w:ascii="Century Gothic" w:hAnsi="Century Gothic"/>
          <w:sz w:val="20"/>
        </w:rPr>
      </w:pPr>
      <w:r w:rsidRPr="005D2AF3">
        <w:rPr>
          <w:rFonts w:ascii="Century Gothic" w:hAnsi="Century Gothic"/>
          <w:sz w:val="20"/>
        </w:rPr>
        <w:t xml:space="preserve">Such dues should </w:t>
      </w:r>
      <w:r w:rsidRPr="00E70E06">
        <w:rPr>
          <w:rFonts w:ascii="Century Gothic" w:hAnsi="Century Gothic"/>
          <w:b/>
          <w:i/>
          <w:color w:val="31849B" w:themeColor="accent5" w:themeShade="BF"/>
          <w:sz w:val="20"/>
        </w:rPr>
        <w:t>not be included under “Other Liabilities”.</w:t>
      </w:r>
    </w:p>
    <w:p w:rsidR="00840FE6" w:rsidRDefault="005D2AF3" w:rsidP="00840FE6">
      <w:pPr>
        <w:rPr>
          <w:rFonts w:ascii="Century Gothic" w:hAnsi="Century Gothic"/>
          <w:b/>
          <w:caps/>
          <w:emboss/>
          <w:color w:val="006600"/>
        </w:rPr>
      </w:pPr>
      <w:r w:rsidRPr="005D2AF3">
        <w:rPr>
          <w:rFonts w:ascii="Century Gothic" w:hAnsi="Century Gothic"/>
          <w:b/>
          <w:caps/>
          <w:emboss/>
          <w:color w:val="006600"/>
        </w:rPr>
        <w:t>CLASSIFICATION OF INVESTMENTS:</w:t>
      </w:r>
    </w:p>
    <w:p w:rsidR="005D2AF3" w:rsidRPr="00BD50B1" w:rsidRDefault="00487197" w:rsidP="00BD50B1">
      <w:pPr>
        <w:pStyle w:val="ListParagraph"/>
        <w:numPr>
          <w:ilvl w:val="0"/>
          <w:numId w:val="4"/>
        </w:numPr>
        <w:spacing w:line="240" w:lineRule="auto"/>
        <w:rPr>
          <w:rFonts w:ascii="Century Gothic" w:hAnsi="Century Gothic"/>
          <w:sz w:val="20"/>
          <w:szCs w:val="20"/>
        </w:rPr>
      </w:pPr>
      <w:r w:rsidRPr="00BD50B1">
        <w:rPr>
          <w:rFonts w:ascii="Century Gothic" w:hAnsi="Century Gothic"/>
          <w:sz w:val="20"/>
          <w:szCs w:val="20"/>
        </w:rPr>
        <w:t>The terms “Loans, Investments &amp; Deposits” have not been defined under Companies Act, 1956.</w:t>
      </w:r>
    </w:p>
    <w:p w:rsidR="008B0A16" w:rsidRPr="00BD50B1" w:rsidRDefault="008B0A16" w:rsidP="00BD50B1">
      <w:pPr>
        <w:pStyle w:val="ListParagraph"/>
        <w:numPr>
          <w:ilvl w:val="0"/>
          <w:numId w:val="4"/>
        </w:numPr>
        <w:spacing w:line="240" w:lineRule="auto"/>
        <w:rPr>
          <w:rFonts w:ascii="Century Gothic" w:hAnsi="Century Gothic"/>
          <w:sz w:val="20"/>
          <w:szCs w:val="20"/>
        </w:rPr>
      </w:pPr>
      <w:r w:rsidRPr="00BD50B1">
        <w:rPr>
          <w:rFonts w:ascii="Century Gothic" w:hAnsi="Century Gothic"/>
          <w:sz w:val="20"/>
          <w:szCs w:val="20"/>
        </w:rPr>
        <w:t xml:space="preserve">But </w:t>
      </w:r>
      <w:r w:rsidRPr="00E70E06">
        <w:rPr>
          <w:rFonts w:ascii="Century Gothic" w:hAnsi="Century Gothic"/>
          <w:color w:val="FF33CC"/>
          <w:sz w:val="20"/>
          <w:szCs w:val="20"/>
        </w:rPr>
        <w:t>Sec.370 of Companies Act, 1956</w:t>
      </w:r>
      <w:r w:rsidR="0023160E" w:rsidRPr="00BD50B1">
        <w:rPr>
          <w:rFonts w:ascii="Century Gothic" w:hAnsi="Century Gothic"/>
          <w:sz w:val="20"/>
          <w:szCs w:val="20"/>
        </w:rPr>
        <w:t xml:space="preserve"> says </w:t>
      </w:r>
      <w:r w:rsidR="00A05D25" w:rsidRPr="00BD50B1">
        <w:rPr>
          <w:rFonts w:ascii="Century Gothic" w:hAnsi="Century Gothic"/>
          <w:sz w:val="20"/>
          <w:szCs w:val="20"/>
        </w:rPr>
        <w:t>“</w:t>
      </w:r>
      <w:r w:rsidR="00A05D25" w:rsidRPr="005A7144">
        <w:rPr>
          <w:rFonts w:ascii="Century Gothic" w:hAnsi="Century Gothic"/>
          <w:color w:val="984806" w:themeColor="accent6" w:themeShade="80"/>
          <w:sz w:val="20"/>
          <w:szCs w:val="20"/>
        </w:rPr>
        <w:t>Loan</w:t>
      </w:r>
      <w:r w:rsidR="0023160E" w:rsidRPr="005A7144">
        <w:rPr>
          <w:rFonts w:ascii="Century Gothic" w:hAnsi="Century Gothic"/>
          <w:color w:val="984806" w:themeColor="accent6" w:themeShade="80"/>
          <w:sz w:val="20"/>
          <w:szCs w:val="20"/>
        </w:rPr>
        <w:t xml:space="preserve"> includes any deposits of money made by one company with another company not being</w:t>
      </w:r>
      <w:r w:rsidR="00A05D25" w:rsidRPr="005A7144">
        <w:rPr>
          <w:rFonts w:ascii="Century Gothic" w:hAnsi="Century Gothic"/>
          <w:color w:val="984806" w:themeColor="accent6" w:themeShade="80"/>
          <w:sz w:val="20"/>
          <w:szCs w:val="20"/>
        </w:rPr>
        <w:t xml:space="preserve"> a</w:t>
      </w:r>
      <w:r w:rsidR="0023160E" w:rsidRPr="005A7144">
        <w:rPr>
          <w:rFonts w:ascii="Century Gothic" w:hAnsi="Century Gothic"/>
          <w:color w:val="984806" w:themeColor="accent6" w:themeShade="80"/>
          <w:sz w:val="20"/>
          <w:szCs w:val="20"/>
        </w:rPr>
        <w:t xml:space="preserve"> </w:t>
      </w:r>
      <w:r w:rsidR="00A05D25" w:rsidRPr="005A7144">
        <w:rPr>
          <w:rFonts w:ascii="Century Gothic" w:hAnsi="Century Gothic"/>
          <w:color w:val="984806" w:themeColor="accent6" w:themeShade="80"/>
          <w:sz w:val="20"/>
          <w:szCs w:val="20"/>
        </w:rPr>
        <w:t>Banking</w:t>
      </w:r>
      <w:r w:rsidR="008F4E9D" w:rsidRPr="005A7144">
        <w:rPr>
          <w:rFonts w:ascii="Century Gothic" w:hAnsi="Century Gothic"/>
          <w:color w:val="984806" w:themeColor="accent6" w:themeShade="80"/>
          <w:sz w:val="20"/>
          <w:szCs w:val="20"/>
        </w:rPr>
        <w:t xml:space="preserve"> Company</w:t>
      </w:r>
      <w:r w:rsidR="008F4E9D" w:rsidRPr="00BD50B1">
        <w:rPr>
          <w:rFonts w:ascii="Century Gothic" w:hAnsi="Century Gothic"/>
          <w:sz w:val="20"/>
          <w:szCs w:val="20"/>
        </w:rPr>
        <w:t>”.</w:t>
      </w:r>
    </w:p>
    <w:p w:rsidR="008F4E9D" w:rsidRPr="00BD50B1" w:rsidRDefault="008F4E9D" w:rsidP="00BD50B1">
      <w:pPr>
        <w:pStyle w:val="ListParagraph"/>
        <w:numPr>
          <w:ilvl w:val="0"/>
          <w:numId w:val="4"/>
        </w:numPr>
        <w:spacing w:line="240" w:lineRule="auto"/>
        <w:rPr>
          <w:rFonts w:ascii="Century Gothic" w:hAnsi="Century Gothic"/>
          <w:color w:val="FF33CC"/>
          <w:sz w:val="20"/>
        </w:rPr>
      </w:pPr>
      <w:r w:rsidRPr="00BD50B1">
        <w:rPr>
          <w:rFonts w:ascii="Century Gothic" w:hAnsi="Century Gothic"/>
          <w:color w:val="FF33CC"/>
          <w:sz w:val="20"/>
        </w:rPr>
        <w:t>Schedule VI of Companies Act, 1956 will disclose –</w:t>
      </w:r>
    </w:p>
    <w:p w:rsidR="008F4E9D" w:rsidRPr="00BD50B1" w:rsidRDefault="008F4E9D" w:rsidP="00BD50B1">
      <w:pPr>
        <w:pStyle w:val="ListParagraph"/>
        <w:numPr>
          <w:ilvl w:val="0"/>
          <w:numId w:val="3"/>
        </w:numPr>
        <w:spacing w:line="240" w:lineRule="auto"/>
        <w:ind w:left="1170" w:hanging="270"/>
        <w:rPr>
          <w:rFonts w:ascii="Century Gothic" w:hAnsi="Century Gothic"/>
          <w:sz w:val="20"/>
          <w:szCs w:val="20"/>
        </w:rPr>
      </w:pPr>
      <w:r w:rsidRPr="005A7144">
        <w:rPr>
          <w:rFonts w:ascii="Century Gothic" w:hAnsi="Century Gothic"/>
          <w:color w:val="00B050"/>
          <w:sz w:val="20"/>
          <w:szCs w:val="20"/>
        </w:rPr>
        <w:t>Deposits with</w:t>
      </w:r>
      <w:r w:rsidR="00FA6D13" w:rsidRPr="005A7144">
        <w:rPr>
          <w:rFonts w:ascii="Century Gothic" w:hAnsi="Century Gothic"/>
          <w:color w:val="00B050"/>
          <w:sz w:val="20"/>
          <w:szCs w:val="20"/>
        </w:rPr>
        <w:t xml:space="preserve"> non-banking companies</w:t>
      </w:r>
      <w:r w:rsidR="00FA6D13" w:rsidRPr="00BD50B1">
        <w:rPr>
          <w:rFonts w:ascii="Century Gothic" w:hAnsi="Century Gothic"/>
          <w:sz w:val="20"/>
          <w:szCs w:val="20"/>
        </w:rPr>
        <w:t xml:space="preserve"> such as SBI caps, HDFC &amp; other corporate deposits should also be treated as a Lo</w:t>
      </w:r>
      <w:r w:rsidR="00A05D25" w:rsidRPr="00BD50B1">
        <w:rPr>
          <w:rFonts w:ascii="Century Gothic" w:hAnsi="Century Gothic"/>
          <w:sz w:val="20"/>
          <w:szCs w:val="20"/>
        </w:rPr>
        <w:t xml:space="preserve">an and </w:t>
      </w:r>
      <w:r w:rsidR="00A05D25" w:rsidRPr="007535CD">
        <w:rPr>
          <w:rFonts w:ascii="Century Gothic" w:hAnsi="Century Gothic"/>
          <w:b/>
          <w:color w:val="948A54" w:themeColor="background2" w:themeShade="80"/>
          <w:sz w:val="20"/>
          <w:szCs w:val="20"/>
        </w:rPr>
        <w:t>disclosed under “Loans &amp; Advances”</w:t>
      </w:r>
      <w:r w:rsidR="00A05D25" w:rsidRPr="00BD50B1">
        <w:rPr>
          <w:rFonts w:ascii="Century Gothic" w:hAnsi="Century Gothic"/>
          <w:sz w:val="20"/>
          <w:szCs w:val="20"/>
        </w:rPr>
        <w:t>.</w:t>
      </w:r>
    </w:p>
    <w:p w:rsidR="00A05D25" w:rsidRPr="00BD50B1" w:rsidRDefault="00A05D25" w:rsidP="00BD50B1">
      <w:pPr>
        <w:pStyle w:val="ListParagraph"/>
        <w:numPr>
          <w:ilvl w:val="0"/>
          <w:numId w:val="3"/>
        </w:numPr>
        <w:spacing w:line="240" w:lineRule="auto"/>
        <w:ind w:left="1170" w:hanging="270"/>
        <w:rPr>
          <w:rFonts w:ascii="Century Gothic" w:hAnsi="Century Gothic"/>
          <w:sz w:val="20"/>
          <w:szCs w:val="20"/>
        </w:rPr>
      </w:pPr>
      <w:r w:rsidRPr="007535CD">
        <w:rPr>
          <w:rFonts w:ascii="Century Gothic" w:hAnsi="Century Gothic"/>
          <w:color w:val="00B050"/>
          <w:sz w:val="20"/>
          <w:szCs w:val="20"/>
        </w:rPr>
        <w:t>Certificate of Deposits (CDs) with a bank</w:t>
      </w:r>
      <w:r w:rsidRPr="00BD50B1">
        <w:rPr>
          <w:rFonts w:ascii="Century Gothic" w:hAnsi="Century Gothic"/>
          <w:sz w:val="20"/>
          <w:szCs w:val="20"/>
        </w:rPr>
        <w:t xml:space="preserve"> represents a type </w:t>
      </w:r>
      <w:r w:rsidR="00AD3550" w:rsidRPr="00BD50B1">
        <w:rPr>
          <w:rFonts w:ascii="Century Gothic" w:hAnsi="Century Gothic"/>
          <w:sz w:val="20"/>
          <w:szCs w:val="20"/>
        </w:rPr>
        <w:t xml:space="preserve">of balance with the concerned bank &amp; </w:t>
      </w:r>
      <w:r w:rsidR="00AD3550" w:rsidRPr="007535CD">
        <w:rPr>
          <w:rFonts w:ascii="Century Gothic" w:hAnsi="Century Gothic"/>
          <w:b/>
          <w:color w:val="948A54" w:themeColor="background2" w:themeShade="80"/>
          <w:sz w:val="20"/>
          <w:szCs w:val="20"/>
        </w:rPr>
        <w:t xml:space="preserve">disclosed under the head “Cash &amp; Bank Balances” just as Fixed deposits </w:t>
      </w:r>
      <w:r w:rsidR="00AD3550" w:rsidRPr="00BD50B1">
        <w:rPr>
          <w:rFonts w:ascii="Century Gothic" w:hAnsi="Century Gothic"/>
          <w:sz w:val="20"/>
          <w:szCs w:val="20"/>
        </w:rPr>
        <w:t>are shown under that head.</w:t>
      </w:r>
    </w:p>
    <w:p w:rsidR="00487197" w:rsidRDefault="00D95995" w:rsidP="00D95995">
      <w:pPr>
        <w:rPr>
          <w:rFonts w:ascii="Century Gothic" w:hAnsi="Century Gothic"/>
          <w:b/>
          <w:caps/>
          <w:emboss/>
          <w:color w:val="006600"/>
        </w:rPr>
      </w:pPr>
      <w:r w:rsidRPr="00D95995">
        <w:rPr>
          <w:rFonts w:ascii="Century Gothic" w:hAnsi="Century Gothic"/>
          <w:b/>
          <w:caps/>
          <w:emboss/>
          <w:color w:val="006600"/>
        </w:rPr>
        <w:t>MEANING OF PROVISIONS:</w:t>
      </w:r>
    </w:p>
    <w:p w:rsidR="0093768B" w:rsidRPr="00D60AE4" w:rsidRDefault="000B68E8" w:rsidP="00D60AE4">
      <w:pPr>
        <w:pStyle w:val="ListParagraph"/>
        <w:numPr>
          <w:ilvl w:val="0"/>
          <w:numId w:val="5"/>
        </w:numPr>
        <w:rPr>
          <w:rFonts w:ascii="Century Gothic" w:hAnsi="Century Gothic"/>
          <w:sz w:val="20"/>
        </w:rPr>
      </w:pPr>
      <w:r w:rsidRPr="00D60AE4">
        <w:rPr>
          <w:rFonts w:ascii="Century Gothic" w:hAnsi="Century Gothic"/>
          <w:sz w:val="20"/>
        </w:rPr>
        <w:t>As</w:t>
      </w:r>
      <w:r w:rsidR="00D95995" w:rsidRPr="00D60AE4">
        <w:rPr>
          <w:rFonts w:ascii="Century Gothic" w:hAnsi="Century Gothic"/>
          <w:sz w:val="20"/>
        </w:rPr>
        <w:t xml:space="preserve"> P</w:t>
      </w:r>
      <w:r w:rsidRPr="00D60AE4">
        <w:rPr>
          <w:rFonts w:ascii="Century Gothic" w:hAnsi="Century Gothic"/>
          <w:sz w:val="20"/>
        </w:rPr>
        <w:t>er</w:t>
      </w:r>
      <w:r w:rsidR="00D95995" w:rsidRPr="00D60AE4">
        <w:rPr>
          <w:rFonts w:ascii="Century Gothic" w:hAnsi="Century Gothic"/>
          <w:b/>
          <w:caps/>
          <w:emboss/>
          <w:color w:val="006600"/>
        </w:rPr>
        <w:t xml:space="preserve"> </w:t>
      </w:r>
      <w:r w:rsidR="00D95995" w:rsidRPr="00D60AE4">
        <w:rPr>
          <w:rFonts w:ascii="Century Gothic" w:hAnsi="Century Gothic"/>
          <w:color w:val="FF33CC"/>
          <w:sz w:val="20"/>
        </w:rPr>
        <w:t xml:space="preserve">Part </w:t>
      </w:r>
      <w:r w:rsidRPr="00D60AE4">
        <w:rPr>
          <w:rFonts w:ascii="Century Gothic" w:hAnsi="Century Gothic"/>
          <w:color w:val="FF33CC"/>
          <w:sz w:val="20"/>
        </w:rPr>
        <w:t>II</w:t>
      </w:r>
      <w:r w:rsidR="00D95995" w:rsidRPr="00D60AE4">
        <w:rPr>
          <w:rFonts w:ascii="Century Gothic" w:hAnsi="Century Gothic"/>
          <w:color w:val="FF33CC"/>
          <w:sz w:val="20"/>
        </w:rPr>
        <w:t>I of Schedule VI of Companies Act, 1956</w:t>
      </w:r>
      <w:r w:rsidRPr="00D60AE4">
        <w:rPr>
          <w:rFonts w:ascii="Century Gothic" w:hAnsi="Century Gothic"/>
          <w:color w:val="FF33CC"/>
          <w:sz w:val="20"/>
        </w:rPr>
        <w:t xml:space="preserve"> </w:t>
      </w:r>
      <w:r w:rsidRPr="00D60AE4">
        <w:rPr>
          <w:rFonts w:ascii="Century Gothic" w:hAnsi="Century Gothic"/>
          <w:sz w:val="20"/>
        </w:rPr>
        <w:t>Provision means “</w:t>
      </w:r>
      <w:r w:rsidR="00831674" w:rsidRPr="00F87936">
        <w:rPr>
          <w:rFonts w:ascii="Century Gothic" w:hAnsi="Century Gothic"/>
          <w:color w:val="003399"/>
          <w:sz w:val="20"/>
        </w:rPr>
        <w:t>any amount written off or retained by way of providing for depreciation, renewals or diminution in value of assets or retained by way of providing for any known liabilities of which the amount cannot be determined with substantial accuracy</w:t>
      </w:r>
      <w:r w:rsidR="00831674" w:rsidRPr="00D60AE4">
        <w:rPr>
          <w:rFonts w:ascii="Century Gothic" w:hAnsi="Century Gothic"/>
          <w:sz w:val="20"/>
        </w:rPr>
        <w:t>”.</w:t>
      </w:r>
    </w:p>
    <w:p w:rsidR="00840A18" w:rsidRPr="00D60AE4" w:rsidRDefault="0093768B" w:rsidP="00D60AE4">
      <w:pPr>
        <w:pStyle w:val="ListParagraph"/>
        <w:numPr>
          <w:ilvl w:val="0"/>
          <w:numId w:val="5"/>
        </w:numPr>
        <w:rPr>
          <w:rFonts w:ascii="Century Gothic" w:hAnsi="Century Gothic"/>
          <w:sz w:val="20"/>
        </w:rPr>
      </w:pPr>
      <w:r w:rsidRPr="00D60AE4">
        <w:rPr>
          <w:rFonts w:ascii="Century Gothic" w:hAnsi="Century Gothic"/>
          <w:sz w:val="20"/>
        </w:rPr>
        <w:t xml:space="preserve">Amount set aside by the company in respect of the estimated diminution in the value </w:t>
      </w:r>
      <w:r w:rsidR="00840A18" w:rsidRPr="00D60AE4">
        <w:rPr>
          <w:rFonts w:ascii="Century Gothic" w:hAnsi="Century Gothic"/>
          <w:sz w:val="20"/>
        </w:rPr>
        <w:t>o</w:t>
      </w:r>
      <w:r w:rsidRPr="00D60AE4">
        <w:rPr>
          <w:rFonts w:ascii="Century Gothic" w:hAnsi="Century Gothic"/>
          <w:sz w:val="20"/>
        </w:rPr>
        <w:t>f bank balance</w:t>
      </w:r>
      <w:r w:rsidR="00840A18" w:rsidRPr="00D60AE4">
        <w:rPr>
          <w:rFonts w:ascii="Century Gothic" w:hAnsi="Century Gothic"/>
          <w:sz w:val="20"/>
        </w:rPr>
        <w:t xml:space="preserve"> </w:t>
      </w:r>
      <w:r w:rsidR="00840A18" w:rsidRPr="00CB3699">
        <w:rPr>
          <w:rFonts w:ascii="Century Gothic" w:hAnsi="Century Gothic"/>
          <w:b/>
          <w:color w:val="4A442A" w:themeColor="background2" w:themeShade="40"/>
          <w:sz w:val="20"/>
        </w:rPr>
        <w:t>= Provision</w:t>
      </w:r>
      <w:r w:rsidR="00840A18" w:rsidRPr="00D60AE4">
        <w:rPr>
          <w:rFonts w:ascii="Century Gothic" w:hAnsi="Century Gothic"/>
          <w:sz w:val="20"/>
        </w:rPr>
        <w:t>.</w:t>
      </w:r>
    </w:p>
    <w:p w:rsidR="00360E1D" w:rsidRPr="00360E1D" w:rsidRDefault="00831674" w:rsidP="00D95995">
      <w:pPr>
        <w:pStyle w:val="ListParagraph"/>
        <w:numPr>
          <w:ilvl w:val="0"/>
          <w:numId w:val="5"/>
        </w:numPr>
        <w:rPr>
          <w:rFonts w:ascii="Century Gothic" w:hAnsi="Century Gothic"/>
          <w:b/>
          <w:caps/>
          <w:emboss/>
          <w:color w:val="006600"/>
        </w:rPr>
      </w:pPr>
      <w:r w:rsidRPr="0053227D">
        <w:rPr>
          <w:rFonts w:ascii="Century Gothic" w:hAnsi="Century Gothic"/>
          <w:sz w:val="20"/>
        </w:rPr>
        <w:t xml:space="preserve"> </w:t>
      </w:r>
      <w:r w:rsidR="00840A18" w:rsidRPr="0053227D">
        <w:rPr>
          <w:rFonts w:ascii="Century Gothic" w:hAnsi="Century Gothic"/>
          <w:color w:val="FF33CC"/>
          <w:sz w:val="20"/>
        </w:rPr>
        <w:t>Part I of Schedule VI of Companies Act, 1956</w:t>
      </w:r>
    </w:p>
    <w:p w:rsidR="00360E1D" w:rsidRDefault="0016472C" w:rsidP="00360E1D">
      <w:pPr>
        <w:pStyle w:val="ListParagraph"/>
        <w:rPr>
          <w:rFonts w:ascii="Century Gothic" w:hAnsi="Century Gothic"/>
          <w:b/>
          <w:caps/>
          <w:emboss/>
          <w:color w:val="006600"/>
        </w:rPr>
      </w:pPr>
      <w:r>
        <w:rPr>
          <w:rFonts w:ascii="Century Gothic" w:hAnsi="Century Gothic"/>
          <w:b/>
          <w:caps/>
          <w:noProof/>
          <w:color w:val="006600"/>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30" type="#_x0000_t70" style="position:absolute;left:0;text-align:left;margin-left:251.65pt;margin-top:49.8pt;width:7.15pt;height:9.95pt;z-index:251662336">
            <v:textbox style="layout-flow:vertical-ideographic"/>
          </v:shape>
        </w:pict>
      </w:r>
      <w:r>
        <w:rPr>
          <w:rFonts w:ascii="Century Gothic" w:hAnsi="Century Gothic"/>
          <w:b/>
          <w:caps/>
          <w:noProof/>
          <w:color w:val="006600"/>
        </w:rPr>
        <w:pict>
          <v:shapetype id="_x0000_t202" coordsize="21600,21600" o:spt="202" path="m,l,21600r21600,l21600,xe">
            <v:stroke joinstyle="miter"/>
            <v:path gradientshapeok="t" o:connecttype="rect"/>
          </v:shapetype>
          <v:shape id="_x0000_s1028" type="#_x0000_t202" style="position:absolute;left:0;text-align:left;margin-left:186.3pt;margin-top:22.75pt;width:133.4pt;height:20.45pt;z-index:251660288">
            <v:textbox style="mso-next-textbox:#_x0000_s1028">
              <w:txbxContent>
                <w:p w:rsidR="00FD42E5" w:rsidRPr="00115882" w:rsidRDefault="0048013E" w:rsidP="00115882">
                  <w:pPr>
                    <w:jc w:val="center"/>
                    <w:rPr>
                      <w:rFonts w:ascii="Century Gothic" w:hAnsi="Century Gothic"/>
                      <w:b/>
                      <w:color w:val="00B050"/>
                      <w:sz w:val="18"/>
                      <w:szCs w:val="18"/>
                    </w:rPr>
                  </w:pPr>
                  <w:r w:rsidRPr="00115882">
                    <w:rPr>
                      <w:rFonts w:ascii="Century Gothic" w:hAnsi="Century Gothic"/>
                      <w:b/>
                      <w:color w:val="00B050"/>
                      <w:sz w:val="18"/>
                      <w:szCs w:val="18"/>
                    </w:rPr>
                    <w:t>Other Provision</w:t>
                  </w:r>
                </w:p>
              </w:txbxContent>
            </v:textbox>
          </v:shape>
        </w:pict>
      </w:r>
      <w:r w:rsidR="000D3646">
        <w:rPr>
          <w:rFonts w:ascii="Century Gothic" w:hAnsi="Century Gothic"/>
          <w:b/>
          <w:caps/>
          <w:noProof/>
          <w:color w:val="006600"/>
        </w:rPr>
        <w:pict>
          <v:shape id="_x0000_s1031" type="#_x0000_t202" style="position:absolute;left:0;text-align:left;margin-left:63.4pt;margin-top:65.7pt;width:106.35pt;height:45.75pt;z-index:251663360">
            <v:textbox style="mso-next-textbox:#_x0000_s1031">
              <w:txbxContent>
                <w:p w:rsidR="00B36492" w:rsidRPr="00115882" w:rsidRDefault="00B36492">
                  <w:pPr>
                    <w:rPr>
                      <w:b/>
                      <w:color w:val="E36C0A" w:themeColor="accent6" w:themeShade="BF"/>
                      <w:sz w:val="18"/>
                    </w:rPr>
                  </w:pPr>
                  <w:r w:rsidRPr="00115882">
                    <w:rPr>
                      <w:b/>
                      <w:color w:val="E36C0A" w:themeColor="accent6" w:themeShade="BF"/>
                      <w:sz w:val="18"/>
                    </w:rPr>
                    <w:t xml:space="preserve">Shown as deduction from Sundry </w:t>
                  </w:r>
                  <w:r w:rsidR="002B6E36">
                    <w:rPr>
                      <w:b/>
                      <w:color w:val="E36C0A" w:themeColor="accent6" w:themeShade="BF"/>
                      <w:sz w:val="18"/>
                    </w:rPr>
                    <w:t>D</w:t>
                  </w:r>
                  <w:r w:rsidRPr="00115882">
                    <w:rPr>
                      <w:b/>
                      <w:color w:val="E36C0A" w:themeColor="accent6" w:themeShade="BF"/>
                      <w:sz w:val="18"/>
                    </w:rPr>
                    <w:t>e</w:t>
                  </w:r>
                  <w:r w:rsidR="002B6E36">
                    <w:rPr>
                      <w:b/>
                      <w:color w:val="E36C0A" w:themeColor="accent6" w:themeShade="BF"/>
                      <w:sz w:val="18"/>
                    </w:rPr>
                    <w:t>b</w:t>
                  </w:r>
                  <w:r w:rsidRPr="00115882">
                    <w:rPr>
                      <w:b/>
                      <w:color w:val="E36C0A" w:themeColor="accent6" w:themeShade="BF"/>
                      <w:sz w:val="18"/>
                    </w:rPr>
                    <w:t>tors.</w:t>
                  </w:r>
                </w:p>
              </w:txbxContent>
            </v:textbox>
          </v:shape>
        </w:pict>
      </w:r>
      <w:r w:rsidR="000D3646">
        <w:rPr>
          <w:rFonts w:ascii="Century Gothic" w:hAnsi="Century Gothic"/>
          <w:b/>
          <w:caps/>
          <w:noProof/>
          <w:color w:val="006600"/>
        </w:rPr>
        <w:pict>
          <v:shape id="_x0000_s1032" type="#_x0000_t202" style="position:absolute;left:0;text-align:left;margin-left:186.3pt;margin-top:65.7pt;width:133.4pt;height:45.75pt;z-index:251664384">
            <v:textbox style="mso-next-textbox:#_x0000_s1032">
              <w:txbxContent>
                <w:p w:rsidR="00B36492" w:rsidRPr="001119F0" w:rsidRDefault="00A87458">
                  <w:pPr>
                    <w:rPr>
                      <w:b/>
                      <w:color w:val="E36C0A" w:themeColor="accent6" w:themeShade="BF"/>
                      <w:sz w:val="18"/>
                    </w:rPr>
                  </w:pPr>
                  <w:r w:rsidRPr="001119F0">
                    <w:rPr>
                      <w:b/>
                      <w:color w:val="E36C0A" w:themeColor="accent6" w:themeShade="BF"/>
                      <w:sz w:val="18"/>
                    </w:rPr>
                    <w:t>Disclosed as Provision relate to expense/liability &amp; not as deduction in value of asset</w:t>
                  </w:r>
                </w:p>
              </w:txbxContent>
            </v:textbox>
          </v:shape>
        </w:pict>
      </w:r>
      <w:r w:rsidR="000D3646">
        <w:rPr>
          <w:rFonts w:ascii="Century Gothic" w:hAnsi="Century Gothic"/>
          <w:b/>
          <w:caps/>
          <w:noProof/>
          <w:color w:val="006600"/>
        </w:rPr>
        <w:pict>
          <v:shape id="_x0000_s1029" type="#_x0000_t70" style="position:absolute;left:0;text-align:left;margin-left:114.3pt;margin-top:46.5pt;width:7.15pt;height:13.25pt;z-index:251661312">
            <v:textbox style="layout-flow:vertical-ideographic"/>
          </v:shape>
        </w:pict>
      </w:r>
      <w:r w:rsidR="00D60AE4">
        <w:rPr>
          <w:rFonts w:ascii="Century Gothic" w:hAnsi="Century Gothic"/>
          <w:b/>
          <w:caps/>
          <w:noProof/>
          <w:color w:val="006600"/>
        </w:rPr>
        <w:pict>
          <v:shape id="_x0000_s1027" type="#_x0000_t202" style="position:absolute;left:0;text-align:left;margin-left:66.7pt;margin-top:22.75pt;width:103.05pt;height:20.45pt;z-index:251659264">
            <v:textbox>
              <w:txbxContent>
                <w:p w:rsidR="00FD42E5" w:rsidRPr="00115882" w:rsidRDefault="0048013E" w:rsidP="00115882">
                  <w:pPr>
                    <w:jc w:val="center"/>
                    <w:rPr>
                      <w:rFonts w:ascii="Century Gothic" w:hAnsi="Century Gothic"/>
                      <w:b/>
                      <w:color w:val="00B050"/>
                      <w:sz w:val="18"/>
                      <w:szCs w:val="18"/>
                    </w:rPr>
                  </w:pPr>
                  <w:r w:rsidRPr="00115882">
                    <w:rPr>
                      <w:rFonts w:ascii="Century Gothic" w:hAnsi="Century Gothic"/>
                      <w:b/>
                      <w:color w:val="00B050"/>
                      <w:sz w:val="18"/>
                      <w:szCs w:val="18"/>
                    </w:rPr>
                    <w:t>Provision on Debtors</w:t>
                  </w:r>
                </w:p>
              </w:txbxContent>
            </v:textbox>
          </v:shape>
        </w:pict>
      </w:r>
    </w:p>
    <w:p w:rsidR="00360E1D" w:rsidRPr="00360E1D" w:rsidRDefault="00360E1D" w:rsidP="00360E1D"/>
    <w:p w:rsidR="00360E1D" w:rsidRPr="00360E1D" w:rsidRDefault="00360E1D" w:rsidP="00360E1D"/>
    <w:p w:rsidR="00360E1D" w:rsidRDefault="00360E1D" w:rsidP="00360E1D"/>
    <w:p w:rsidR="00840A18" w:rsidRDefault="00360E1D" w:rsidP="00360E1D">
      <w:pPr>
        <w:tabs>
          <w:tab w:val="left" w:pos="3633"/>
        </w:tabs>
      </w:pPr>
      <w:r>
        <w:tab/>
      </w:r>
    </w:p>
    <w:p w:rsidR="00360E1D" w:rsidRDefault="00360E1D" w:rsidP="00360E1D">
      <w:pPr>
        <w:rPr>
          <w:rFonts w:ascii="Century Gothic" w:hAnsi="Century Gothic"/>
          <w:b/>
          <w:caps/>
          <w:emboss/>
          <w:color w:val="006600"/>
        </w:rPr>
      </w:pPr>
      <w:r w:rsidRPr="00360E1D">
        <w:rPr>
          <w:rFonts w:ascii="Century Gothic" w:hAnsi="Century Gothic"/>
          <w:b/>
          <w:caps/>
          <w:emboss/>
          <w:color w:val="006600"/>
        </w:rPr>
        <w:lastRenderedPageBreak/>
        <w:t>Disclosure of Provision for Bank Deposits th</w:t>
      </w:r>
      <w:r w:rsidR="00F26B53">
        <w:rPr>
          <w:rFonts w:ascii="Century Gothic" w:hAnsi="Century Gothic"/>
          <w:b/>
          <w:caps/>
          <w:emboss/>
          <w:color w:val="006600"/>
        </w:rPr>
        <w:t>at</w:t>
      </w:r>
      <w:r w:rsidRPr="00360E1D">
        <w:rPr>
          <w:rFonts w:ascii="Century Gothic" w:hAnsi="Century Gothic"/>
          <w:b/>
          <w:caps/>
          <w:emboss/>
          <w:color w:val="006600"/>
        </w:rPr>
        <w:t xml:space="preserve"> ARE doubtful of recovery:</w:t>
      </w:r>
    </w:p>
    <w:p w:rsidR="00360E1D" w:rsidRPr="00341AEA" w:rsidRDefault="0034706F" w:rsidP="00F26B53">
      <w:pPr>
        <w:pStyle w:val="ListParagraph"/>
        <w:numPr>
          <w:ilvl w:val="0"/>
          <w:numId w:val="6"/>
        </w:numPr>
        <w:spacing w:line="240" w:lineRule="auto"/>
        <w:rPr>
          <w:rFonts w:ascii="Century Gothic" w:hAnsi="Century Gothic"/>
          <w:color w:val="FF33CC"/>
          <w:sz w:val="20"/>
        </w:rPr>
      </w:pPr>
      <w:r w:rsidRPr="00F26B53">
        <w:rPr>
          <w:rFonts w:ascii="Century Gothic" w:hAnsi="Century Gothic"/>
          <w:sz w:val="20"/>
        </w:rPr>
        <w:t xml:space="preserve">As per gradually accepted Accounting principles – </w:t>
      </w:r>
      <w:r w:rsidRPr="00341AEA">
        <w:rPr>
          <w:rFonts w:ascii="Century Gothic" w:hAnsi="Century Gothic"/>
          <w:color w:val="FF33CC"/>
          <w:sz w:val="20"/>
        </w:rPr>
        <w:t>Current Assets are valued at Lower of Cost &amp; NRV.</w:t>
      </w:r>
    </w:p>
    <w:p w:rsidR="0034706F" w:rsidRPr="00F26B53" w:rsidRDefault="0034706F" w:rsidP="00F26B53">
      <w:pPr>
        <w:pStyle w:val="ListParagraph"/>
        <w:numPr>
          <w:ilvl w:val="0"/>
          <w:numId w:val="6"/>
        </w:numPr>
        <w:spacing w:line="240" w:lineRule="auto"/>
        <w:rPr>
          <w:rFonts w:ascii="Century Gothic" w:hAnsi="Century Gothic"/>
          <w:sz w:val="20"/>
        </w:rPr>
      </w:pPr>
      <w:r w:rsidRPr="00341AEA">
        <w:rPr>
          <w:rFonts w:ascii="Century Gothic" w:hAnsi="Century Gothic"/>
          <w:color w:val="00B050"/>
          <w:sz w:val="20"/>
        </w:rPr>
        <w:t xml:space="preserve">Disclosure of Bank balance without deduction to </w:t>
      </w:r>
      <w:r w:rsidR="00FB5926" w:rsidRPr="00341AEA">
        <w:rPr>
          <w:rFonts w:ascii="Century Gothic" w:hAnsi="Century Gothic"/>
          <w:color w:val="00B050"/>
          <w:sz w:val="20"/>
        </w:rPr>
        <w:t>related provision</w:t>
      </w:r>
      <w:r w:rsidR="00FB5926" w:rsidRPr="00F26B53">
        <w:rPr>
          <w:rFonts w:ascii="Century Gothic" w:hAnsi="Century Gothic"/>
          <w:sz w:val="20"/>
        </w:rPr>
        <w:t xml:space="preserve"> would amount to showing bank balance at value higher than its NRV &amp; it is </w:t>
      </w:r>
      <w:r w:rsidR="00FB5926" w:rsidRPr="00341AEA">
        <w:rPr>
          <w:rFonts w:ascii="Century Gothic" w:hAnsi="Century Gothic"/>
          <w:color w:val="00B050"/>
          <w:sz w:val="20"/>
        </w:rPr>
        <w:t>not appropriate to present</w:t>
      </w:r>
      <w:r w:rsidR="00FB5926" w:rsidRPr="00F26B53">
        <w:rPr>
          <w:rFonts w:ascii="Century Gothic" w:hAnsi="Century Gothic"/>
          <w:sz w:val="20"/>
        </w:rPr>
        <w:t>.</w:t>
      </w:r>
    </w:p>
    <w:p w:rsidR="00DB7C2D" w:rsidRPr="00F26B53" w:rsidRDefault="00DB7C2D" w:rsidP="00F26B53">
      <w:pPr>
        <w:pStyle w:val="ListParagraph"/>
        <w:numPr>
          <w:ilvl w:val="0"/>
          <w:numId w:val="6"/>
        </w:numPr>
        <w:spacing w:line="240" w:lineRule="auto"/>
        <w:rPr>
          <w:rFonts w:ascii="Century Gothic" w:hAnsi="Century Gothic"/>
          <w:sz w:val="20"/>
        </w:rPr>
      </w:pPr>
      <w:r w:rsidRPr="00341AEA">
        <w:rPr>
          <w:rFonts w:ascii="Century Gothic" w:hAnsi="Century Gothic"/>
          <w:color w:val="C0504D" w:themeColor="accent2"/>
          <w:sz w:val="20"/>
        </w:rPr>
        <w:t>Provision for bank deposits</w:t>
      </w:r>
      <w:r w:rsidRPr="00F26B53">
        <w:rPr>
          <w:rFonts w:ascii="Century Gothic" w:hAnsi="Century Gothic"/>
          <w:sz w:val="20"/>
        </w:rPr>
        <w:t xml:space="preserve"> that are doubtful of recovery should be shown in the Balance Sheet as a </w:t>
      </w:r>
      <w:r w:rsidRPr="006949FC">
        <w:rPr>
          <w:rFonts w:ascii="Century Gothic" w:hAnsi="Century Gothic"/>
          <w:b/>
          <w:color w:val="31849B" w:themeColor="accent5" w:themeShade="BF"/>
          <w:sz w:val="20"/>
        </w:rPr>
        <w:t>deduction from “Cash &amp; Bank Balances” on the Assets side.</w:t>
      </w:r>
    </w:p>
    <w:sectPr w:rsidR="00DB7C2D" w:rsidRPr="00F26B53">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733" w:rsidRDefault="001E7733" w:rsidP="001119F0">
      <w:pPr>
        <w:spacing w:after="0" w:line="240" w:lineRule="auto"/>
      </w:pPr>
      <w:r>
        <w:separator/>
      </w:r>
    </w:p>
  </w:endnote>
  <w:endnote w:type="continuationSeparator" w:id="1">
    <w:p w:rsidR="001E7733" w:rsidRDefault="001E7733" w:rsidP="001119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57126"/>
      <w:docPartObj>
        <w:docPartGallery w:val="Page Numbers (Bottom of Page)"/>
        <w:docPartUnique/>
      </w:docPartObj>
    </w:sdtPr>
    <w:sdtContent>
      <w:p w:rsidR="002D73D0" w:rsidRDefault="002D73D0">
        <w:pPr>
          <w:pStyle w:val="Footer"/>
        </w:pPr>
        <w:r w:rsidRPr="0055017E">
          <w:rPr>
            <w:rFonts w:asciiTheme="majorHAnsi" w:hAnsiTheme="majorHAnsi"/>
            <w:noProof/>
            <w:sz w:val="28"/>
            <w:szCs w:val="28"/>
            <w:lang w:eastAsia="zh-TW"/>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2049" type="#_x0000_t92" style="position:absolute;margin-left:0;margin-top:0;width:48.8pt;height:33.35pt;rotation:360;z-index:251660288;mso-position-horizontal:center;mso-position-horizontal-relative:margin;mso-position-vertical:center;mso-position-vertical-relative:bottom-margin-area" fillcolor="white [3212]" strokecolor="#a5a5a5 [2092]">
              <v:textbox style="mso-next-textbox:#_x0000_s2049">
                <w:txbxContent>
                  <w:p w:rsidR="002D73D0" w:rsidRDefault="002D73D0">
                    <w:pPr>
                      <w:jc w:val="center"/>
                    </w:pPr>
                    <w:fldSimple w:instr=" PAGE    \* MERGEFORMAT ">
                      <w:r w:rsidR="00CB3699" w:rsidRPr="00CB3699">
                        <w:rPr>
                          <w:noProof/>
                          <w:color w:val="7F7F7F" w:themeColor="background1" w:themeShade="7F"/>
                        </w:rPr>
                        <w:t>2</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733" w:rsidRDefault="001E7733" w:rsidP="001119F0">
      <w:pPr>
        <w:spacing w:after="0" w:line="240" w:lineRule="auto"/>
      </w:pPr>
      <w:r>
        <w:separator/>
      </w:r>
    </w:p>
  </w:footnote>
  <w:footnote w:type="continuationSeparator" w:id="1">
    <w:p w:rsidR="001E7733" w:rsidRDefault="001E7733" w:rsidP="001119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1" type="#_x0000_t75" style="width:11.25pt;height:11.25pt" o:bullet="t">
        <v:imagedata r:id="rId1" o:title="BD14981_"/>
      </v:shape>
    </w:pict>
  </w:numPicBullet>
  <w:numPicBullet w:numPicBulletId="1">
    <w:pict>
      <v:shape id="_x0000_i1342" type="#_x0000_t75" style="width:11.9pt;height:12.55pt" o:bullet="t">
        <v:imagedata r:id="rId2" o:title="BD21302_"/>
      </v:shape>
    </w:pict>
  </w:numPicBullet>
  <w:numPicBullet w:numPicBulletId="2">
    <w:pict>
      <v:shape id="_x0000_i1343" type="#_x0000_t75" style="width:12.55pt;height:12.55pt" o:bullet="t">
        <v:imagedata r:id="rId3" o:title="BD21304_"/>
      </v:shape>
    </w:pict>
  </w:numPicBullet>
  <w:abstractNum w:abstractNumId="0">
    <w:nsid w:val="0716191D"/>
    <w:multiLevelType w:val="hybridMultilevel"/>
    <w:tmpl w:val="41E67992"/>
    <w:lvl w:ilvl="0" w:tplc="87983918">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67647"/>
    <w:multiLevelType w:val="hybridMultilevel"/>
    <w:tmpl w:val="955EDA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F7343E"/>
    <w:multiLevelType w:val="hybridMultilevel"/>
    <w:tmpl w:val="E5D6F2C8"/>
    <w:lvl w:ilvl="0" w:tplc="A87646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A4609E"/>
    <w:multiLevelType w:val="hybridMultilevel"/>
    <w:tmpl w:val="A7808E3A"/>
    <w:lvl w:ilvl="0" w:tplc="11E0429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743084"/>
    <w:multiLevelType w:val="hybridMultilevel"/>
    <w:tmpl w:val="F75C41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9D243C"/>
    <w:multiLevelType w:val="hybridMultilevel"/>
    <w:tmpl w:val="769A8AEC"/>
    <w:lvl w:ilvl="0" w:tplc="6A98D46C">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115FE9"/>
    <w:rsid w:val="00007099"/>
    <w:rsid w:val="00076BA7"/>
    <w:rsid w:val="000B68E8"/>
    <w:rsid w:val="000D3646"/>
    <w:rsid w:val="001119F0"/>
    <w:rsid w:val="00115882"/>
    <w:rsid w:val="00115FE9"/>
    <w:rsid w:val="0016472C"/>
    <w:rsid w:val="00174FF7"/>
    <w:rsid w:val="00184799"/>
    <w:rsid w:val="001E7733"/>
    <w:rsid w:val="0023160E"/>
    <w:rsid w:val="002B6E36"/>
    <w:rsid w:val="002D73D0"/>
    <w:rsid w:val="00341AEA"/>
    <w:rsid w:val="0034706F"/>
    <w:rsid w:val="00350F59"/>
    <w:rsid w:val="00360E1D"/>
    <w:rsid w:val="00477A08"/>
    <w:rsid w:val="0048013E"/>
    <w:rsid w:val="00487197"/>
    <w:rsid w:val="004A5DA2"/>
    <w:rsid w:val="00507F6B"/>
    <w:rsid w:val="0053227D"/>
    <w:rsid w:val="00571B4B"/>
    <w:rsid w:val="00573F45"/>
    <w:rsid w:val="005A7144"/>
    <w:rsid w:val="005D2AF3"/>
    <w:rsid w:val="006949FC"/>
    <w:rsid w:val="007535CD"/>
    <w:rsid w:val="00830A68"/>
    <w:rsid w:val="00831674"/>
    <w:rsid w:val="00840A18"/>
    <w:rsid w:val="00840FE6"/>
    <w:rsid w:val="008B0A16"/>
    <w:rsid w:val="008F4E9D"/>
    <w:rsid w:val="0093768B"/>
    <w:rsid w:val="00991889"/>
    <w:rsid w:val="00A04AC0"/>
    <w:rsid w:val="00A05D25"/>
    <w:rsid w:val="00A87458"/>
    <w:rsid w:val="00AA16B7"/>
    <w:rsid w:val="00AD3550"/>
    <w:rsid w:val="00B36492"/>
    <w:rsid w:val="00BD50B1"/>
    <w:rsid w:val="00CB3699"/>
    <w:rsid w:val="00D60AE4"/>
    <w:rsid w:val="00D95995"/>
    <w:rsid w:val="00DB7C2D"/>
    <w:rsid w:val="00DF5518"/>
    <w:rsid w:val="00E5484C"/>
    <w:rsid w:val="00E54FCA"/>
    <w:rsid w:val="00E70E06"/>
    <w:rsid w:val="00F26B53"/>
    <w:rsid w:val="00F87936"/>
    <w:rsid w:val="00FA6D13"/>
    <w:rsid w:val="00FB5926"/>
    <w:rsid w:val="00FD42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518"/>
    <w:pPr>
      <w:ind w:left="720"/>
      <w:contextualSpacing/>
    </w:pPr>
  </w:style>
  <w:style w:type="paragraph" w:styleId="BalloonText">
    <w:name w:val="Balloon Text"/>
    <w:basedOn w:val="Normal"/>
    <w:link w:val="BalloonTextChar"/>
    <w:uiPriority w:val="99"/>
    <w:semiHidden/>
    <w:unhideWhenUsed/>
    <w:rsid w:val="00076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BA7"/>
    <w:rPr>
      <w:rFonts w:ascii="Tahoma" w:hAnsi="Tahoma" w:cs="Tahoma"/>
      <w:sz w:val="16"/>
      <w:szCs w:val="16"/>
    </w:rPr>
  </w:style>
  <w:style w:type="paragraph" w:styleId="Header">
    <w:name w:val="header"/>
    <w:basedOn w:val="Normal"/>
    <w:link w:val="HeaderChar"/>
    <w:uiPriority w:val="99"/>
    <w:semiHidden/>
    <w:unhideWhenUsed/>
    <w:rsid w:val="001119F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119F0"/>
  </w:style>
  <w:style w:type="paragraph" w:styleId="Footer">
    <w:name w:val="footer"/>
    <w:basedOn w:val="Normal"/>
    <w:link w:val="FooterChar"/>
    <w:uiPriority w:val="99"/>
    <w:semiHidden/>
    <w:unhideWhenUsed/>
    <w:rsid w:val="001119F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119F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Cognizant</Company>
  <LinksUpToDate>false</LinksUpToDate>
  <CharactersWithSpaces>2378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Sankaranarayanan</dc:creator>
  <cp:keywords/>
  <dc:description/>
  <cp:lastModifiedBy>Sankaranarayanan</cp:lastModifiedBy>
  <cp:revision>5</cp:revision>
  <dcterms:created xsi:type="dcterms:W3CDTF">2009-02-10T09:25:00Z</dcterms:created>
  <dcterms:modified xsi:type="dcterms:W3CDTF">2009-02-10T10:40:00Z</dcterms:modified>
</cp:coreProperties>
</file>