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FDD" w:rsidRPr="000F6FDD" w:rsidRDefault="000F6FDD" w:rsidP="000F6FDD">
      <w:pPr>
        <w:spacing w:before="100" w:beforeAutospacing="1" w:after="100" w:afterAutospacing="1"/>
        <w:ind w:left="0" w:firstLine="0"/>
        <w:jc w:val="center"/>
        <w:outlineLvl w:val="0"/>
        <w:rPr>
          <w:rFonts w:ascii="Times New Roman" w:eastAsia="Times New Roman" w:hAnsi="Times New Roman" w:cs="Times New Roman"/>
          <w:b/>
          <w:bCs/>
          <w:kern w:val="36"/>
          <w:sz w:val="28"/>
          <w:szCs w:val="28"/>
        </w:rPr>
      </w:pPr>
      <w:r w:rsidRPr="000F6FDD">
        <w:rPr>
          <w:rFonts w:ascii="Times New Roman" w:eastAsia="Times New Roman" w:hAnsi="Times New Roman" w:cs="Times New Roman"/>
          <w:b/>
          <w:bCs/>
          <w:kern w:val="36"/>
          <w:sz w:val="28"/>
          <w:szCs w:val="28"/>
        </w:rPr>
        <w:t>Fringe Benefit Tax</w:t>
      </w:r>
    </w:p>
    <w:p w:rsidR="000F6FDD" w:rsidRPr="000F6FDD" w:rsidRDefault="000F6FDD" w:rsidP="000F6FDD">
      <w:pPr>
        <w:ind w:left="0" w:firstLine="0"/>
        <w:rPr>
          <w:rFonts w:ascii="Times New Roman" w:eastAsia="Times New Roman" w:hAnsi="Times New Roman" w:cs="Times New Roman"/>
          <w:sz w:val="24"/>
          <w:szCs w:val="24"/>
        </w:rPr>
      </w:pPr>
      <w:r w:rsidRPr="000F6FDD">
        <w:rPr>
          <w:rFonts w:ascii="Times New Roman" w:eastAsia="Times New Roman" w:hAnsi="Times New Roman" w:cs="Times New Roman"/>
          <w:sz w:val="24"/>
          <w:szCs w:val="24"/>
        </w:rPr>
        <w:t>Fringe Benefit Tax (FBT) is a tax levied on perquisites-or fringe benefits -provided by an employer to his employees, in addition to the cash salary or wages paid. Fringe Benefit Tax was introduced in India in the year 2005-2006.</w:t>
      </w:r>
    </w:p>
    <w:p w:rsidR="000F6FDD" w:rsidRDefault="000F6FDD" w:rsidP="000F6FDD">
      <w:pPr>
        <w:ind w:left="0" w:firstLine="0"/>
        <w:rPr>
          <w:rFonts w:ascii="Times New Roman" w:eastAsia="Times New Roman" w:hAnsi="Times New Roman" w:cs="Times New Roman"/>
          <w:sz w:val="24"/>
          <w:szCs w:val="24"/>
        </w:rPr>
      </w:pPr>
      <w:r w:rsidRPr="000F6FDD">
        <w:rPr>
          <w:rFonts w:ascii="Times New Roman" w:eastAsia="Times New Roman" w:hAnsi="Times New Roman" w:cs="Times New Roman"/>
          <w:sz w:val="24"/>
          <w:szCs w:val="24"/>
        </w:rPr>
        <w:br/>
        <w:t>Fringe Benefit Tax is subject to varying treatment in different countries. These benefits are either taxed in the hands of the employees themselves or the value of such benefits is subject to a 'fringe benefit tax' in the hands of the employer.</w:t>
      </w:r>
      <w:r w:rsidRPr="000F6FDD">
        <w:rPr>
          <w:rFonts w:ascii="Times New Roman" w:eastAsia="Times New Roman" w:hAnsi="Times New Roman" w:cs="Times New Roman"/>
          <w:sz w:val="24"/>
          <w:szCs w:val="24"/>
        </w:rPr>
        <w:br/>
      </w:r>
      <w:r w:rsidRPr="000F6FDD">
        <w:rPr>
          <w:rFonts w:ascii="Times New Roman" w:eastAsia="Times New Roman" w:hAnsi="Times New Roman" w:cs="Times New Roman"/>
          <w:sz w:val="24"/>
          <w:szCs w:val="24"/>
        </w:rPr>
        <w:br/>
        <w:t xml:space="preserve">The rationale for levying a fringe benefit tax on the employer lies in the inherent difficulty in isolating the 'personal element' where there is collective enjoyment of such benefits and attributing the same directly to the employee. </w:t>
      </w:r>
      <w:r w:rsidRPr="000F6FDD">
        <w:rPr>
          <w:rFonts w:ascii="Times New Roman" w:eastAsia="Times New Roman" w:hAnsi="Times New Roman" w:cs="Times New Roman"/>
          <w:sz w:val="24"/>
          <w:szCs w:val="24"/>
        </w:rPr>
        <w:br/>
      </w:r>
      <w:r w:rsidRPr="000F6FDD">
        <w:rPr>
          <w:rFonts w:ascii="Times New Roman" w:eastAsia="Times New Roman" w:hAnsi="Times New Roman" w:cs="Times New Roman"/>
          <w:sz w:val="24"/>
          <w:szCs w:val="24"/>
        </w:rPr>
        <w:br/>
        <w:t>Moreover, in cases where the employer directly reimburses the employee for expenses incurred, it becomes difficult to effectively capture the true extent of the perquisite provided because of the problem of cash flow in the hands of the employer.</w:t>
      </w:r>
      <w:r w:rsidRPr="000F6FDD">
        <w:rPr>
          <w:rFonts w:ascii="Times New Roman" w:eastAsia="Times New Roman" w:hAnsi="Times New Roman" w:cs="Times New Roman"/>
          <w:sz w:val="24"/>
          <w:szCs w:val="24"/>
        </w:rPr>
        <w:br/>
      </w:r>
      <w:r w:rsidRPr="000F6FDD">
        <w:rPr>
          <w:rFonts w:ascii="Times New Roman" w:eastAsia="Times New Roman" w:hAnsi="Times New Roman" w:cs="Times New Roman"/>
          <w:sz w:val="24"/>
          <w:szCs w:val="24"/>
        </w:rPr>
        <w:br/>
        <w:t>Therefore, a two-pronged approach has been adopted for the taxation of fringe benefits under the Income-tax Act.</w:t>
      </w:r>
      <w:r w:rsidRPr="000F6FDD">
        <w:rPr>
          <w:rFonts w:ascii="Times New Roman" w:eastAsia="Times New Roman" w:hAnsi="Times New Roman" w:cs="Times New Roman"/>
          <w:sz w:val="24"/>
          <w:szCs w:val="24"/>
        </w:rPr>
        <w:br/>
      </w:r>
      <w:r w:rsidRPr="000F6FDD">
        <w:rPr>
          <w:rFonts w:ascii="Times New Roman" w:eastAsia="Times New Roman" w:hAnsi="Times New Roman" w:cs="Times New Roman"/>
          <w:sz w:val="24"/>
          <w:szCs w:val="24"/>
        </w:rPr>
        <w:br/>
        <w:t>Perquisites which can be directly attributed to the employees are taxed in their hands in accordance with the existing provisions of section 17(2) of the Income-tax Act and subject to the method of valuation outlined in rule 3 of the Income-tax Rules. In cases, where attribution of the personal benefit poses problems, or for some reasons, it is not feasible to tax the benefits in the hands of the employee, it is proposed to levy a separate tax known as the fringe benefit tax on the employer on the value of such benefits provided or deemed to have been provided to the employees.</w:t>
      </w:r>
      <w:r w:rsidRPr="000F6FDD">
        <w:rPr>
          <w:rFonts w:ascii="Times New Roman" w:eastAsia="Times New Roman" w:hAnsi="Times New Roman" w:cs="Times New Roman"/>
          <w:sz w:val="24"/>
          <w:szCs w:val="24"/>
        </w:rPr>
        <w:br/>
      </w:r>
      <w:r w:rsidRPr="000F6FDD">
        <w:rPr>
          <w:rFonts w:ascii="Times New Roman" w:eastAsia="Times New Roman" w:hAnsi="Times New Roman" w:cs="Times New Roman"/>
          <w:sz w:val="24"/>
          <w:szCs w:val="24"/>
        </w:rPr>
        <w:br/>
        <w:t xml:space="preserve">Fringe benefits shall be deemed to have been provided if the employer has incurred any expense or made any payment for the purposes of: </w:t>
      </w:r>
      <w:r w:rsidRPr="000F6FDD">
        <w:rPr>
          <w:rFonts w:ascii="Times New Roman" w:eastAsia="Times New Roman" w:hAnsi="Times New Roman" w:cs="Times New Roman"/>
          <w:sz w:val="24"/>
          <w:szCs w:val="24"/>
        </w:rPr>
        <w:br/>
        <w:t>(a) entertainment;</w:t>
      </w:r>
      <w:r w:rsidRPr="000F6FDD">
        <w:rPr>
          <w:rFonts w:ascii="Times New Roman" w:eastAsia="Times New Roman" w:hAnsi="Times New Roman" w:cs="Times New Roman"/>
          <w:sz w:val="24"/>
          <w:szCs w:val="24"/>
        </w:rPr>
        <w:br/>
        <w:t>(b) festival celebrations;</w:t>
      </w:r>
      <w:r w:rsidRPr="000F6FDD">
        <w:rPr>
          <w:rFonts w:ascii="Times New Roman" w:eastAsia="Times New Roman" w:hAnsi="Times New Roman" w:cs="Times New Roman"/>
          <w:sz w:val="24"/>
          <w:szCs w:val="24"/>
        </w:rPr>
        <w:br/>
        <w:t xml:space="preserve">(c) gifts; </w:t>
      </w:r>
      <w:r w:rsidRPr="000F6FDD">
        <w:rPr>
          <w:rFonts w:ascii="Times New Roman" w:eastAsia="Times New Roman" w:hAnsi="Times New Roman" w:cs="Times New Roman"/>
          <w:sz w:val="24"/>
          <w:szCs w:val="24"/>
        </w:rPr>
        <w:br/>
        <w:t>(d) use of club facilities;</w:t>
      </w:r>
      <w:r w:rsidRPr="000F6FDD">
        <w:rPr>
          <w:rFonts w:ascii="Times New Roman" w:eastAsia="Times New Roman" w:hAnsi="Times New Roman" w:cs="Times New Roman"/>
          <w:sz w:val="24"/>
          <w:szCs w:val="24"/>
        </w:rPr>
        <w:br/>
        <w:t>(e) provision of hospitality of every kind to any person whether by way of food and beverage or in any other manner, excluding food or beverages provided to the employees in the office or factory;</w:t>
      </w:r>
      <w:r w:rsidRPr="000F6FDD">
        <w:rPr>
          <w:rFonts w:ascii="Times New Roman" w:eastAsia="Times New Roman" w:hAnsi="Times New Roman" w:cs="Times New Roman"/>
          <w:sz w:val="24"/>
          <w:szCs w:val="24"/>
        </w:rPr>
        <w:br/>
        <w:t>(f) maintenance of guest house;</w:t>
      </w:r>
      <w:r w:rsidRPr="000F6FDD">
        <w:rPr>
          <w:rFonts w:ascii="Times New Roman" w:eastAsia="Times New Roman" w:hAnsi="Times New Roman" w:cs="Times New Roman"/>
          <w:sz w:val="24"/>
          <w:szCs w:val="24"/>
        </w:rPr>
        <w:br/>
        <w:t xml:space="preserve">(g) conference; </w:t>
      </w:r>
      <w:r w:rsidRPr="000F6FDD">
        <w:rPr>
          <w:rFonts w:ascii="Times New Roman" w:eastAsia="Times New Roman" w:hAnsi="Times New Roman" w:cs="Times New Roman"/>
          <w:sz w:val="24"/>
          <w:szCs w:val="24"/>
        </w:rPr>
        <w:br/>
        <w:t>(h) employee welfare;</w:t>
      </w:r>
      <w:r w:rsidRPr="000F6FDD">
        <w:rPr>
          <w:rFonts w:ascii="Times New Roman" w:eastAsia="Times New Roman" w:hAnsi="Times New Roman" w:cs="Times New Roman"/>
          <w:sz w:val="24"/>
          <w:szCs w:val="24"/>
        </w:rPr>
        <w:br/>
        <w:t>(</w:t>
      </w:r>
      <w:proofErr w:type="spellStart"/>
      <w:r w:rsidRPr="000F6FDD">
        <w:rPr>
          <w:rFonts w:ascii="Times New Roman" w:eastAsia="Times New Roman" w:hAnsi="Times New Roman" w:cs="Times New Roman"/>
          <w:sz w:val="24"/>
          <w:szCs w:val="24"/>
        </w:rPr>
        <w:t>i</w:t>
      </w:r>
      <w:proofErr w:type="spellEnd"/>
      <w:r w:rsidRPr="000F6FDD">
        <w:rPr>
          <w:rFonts w:ascii="Times New Roman" w:eastAsia="Times New Roman" w:hAnsi="Times New Roman" w:cs="Times New Roman"/>
          <w:sz w:val="24"/>
          <w:szCs w:val="24"/>
        </w:rPr>
        <w:t>) use of health club, sports and similar facilities;</w:t>
      </w:r>
      <w:r w:rsidRPr="000F6FDD">
        <w:rPr>
          <w:rFonts w:ascii="Times New Roman" w:eastAsia="Times New Roman" w:hAnsi="Times New Roman" w:cs="Times New Roman"/>
          <w:sz w:val="24"/>
          <w:szCs w:val="24"/>
        </w:rPr>
        <w:br/>
        <w:t xml:space="preserve">(j) sales promotion, including publicity; </w:t>
      </w:r>
      <w:r w:rsidRPr="000F6FDD">
        <w:rPr>
          <w:rFonts w:ascii="Times New Roman" w:eastAsia="Times New Roman" w:hAnsi="Times New Roman" w:cs="Times New Roman"/>
          <w:sz w:val="24"/>
          <w:szCs w:val="24"/>
        </w:rPr>
        <w:br/>
        <w:t>(k) conveyance, tour and travel, including foreign travel expenses;</w:t>
      </w:r>
      <w:r w:rsidRPr="000F6FDD">
        <w:rPr>
          <w:rFonts w:ascii="Times New Roman" w:eastAsia="Times New Roman" w:hAnsi="Times New Roman" w:cs="Times New Roman"/>
          <w:sz w:val="24"/>
          <w:szCs w:val="24"/>
        </w:rPr>
        <w:br/>
        <w:t>(l) hotel boarding and lodging;</w:t>
      </w:r>
      <w:r w:rsidRPr="000F6FDD">
        <w:rPr>
          <w:rFonts w:ascii="Times New Roman" w:eastAsia="Times New Roman" w:hAnsi="Times New Roman" w:cs="Times New Roman"/>
          <w:sz w:val="24"/>
          <w:szCs w:val="24"/>
        </w:rPr>
        <w:br/>
        <w:t>(m) repair, running and maintenance of motor cars;</w:t>
      </w:r>
      <w:r w:rsidRPr="000F6FDD">
        <w:rPr>
          <w:rFonts w:ascii="Times New Roman" w:eastAsia="Times New Roman" w:hAnsi="Times New Roman" w:cs="Times New Roman"/>
          <w:sz w:val="24"/>
          <w:szCs w:val="24"/>
        </w:rPr>
        <w:br/>
        <w:t xml:space="preserve">(n) repair, running and maintenance of aircraft; </w:t>
      </w:r>
      <w:r w:rsidRPr="000F6FDD">
        <w:rPr>
          <w:rFonts w:ascii="Times New Roman" w:eastAsia="Times New Roman" w:hAnsi="Times New Roman" w:cs="Times New Roman"/>
          <w:sz w:val="24"/>
          <w:szCs w:val="24"/>
        </w:rPr>
        <w:br/>
        <w:t>(o) consumption of fuel other than industrial fuel;</w:t>
      </w:r>
    </w:p>
    <w:p w:rsidR="000F6FDD" w:rsidRDefault="000F6FDD" w:rsidP="000F6FDD">
      <w:pPr>
        <w:ind w:left="0" w:firstLine="0"/>
        <w:rPr>
          <w:rFonts w:ascii="Times New Roman" w:eastAsia="Times New Roman" w:hAnsi="Times New Roman" w:cs="Times New Roman"/>
          <w:sz w:val="24"/>
          <w:szCs w:val="24"/>
        </w:rPr>
      </w:pPr>
      <w:r w:rsidRPr="000F6FDD">
        <w:rPr>
          <w:rFonts w:ascii="Times New Roman" w:eastAsia="Times New Roman" w:hAnsi="Times New Roman" w:cs="Times New Roman"/>
          <w:sz w:val="24"/>
          <w:szCs w:val="24"/>
        </w:rPr>
        <w:t xml:space="preserve">(p) </w:t>
      </w:r>
      <w:proofErr w:type="gramStart"/>
      <w:r w:rsidRPr="000F6FDD">
        <w:rPr>
          <w:rFonts w:ascii="Times New Roman" w:eastAsia="Times New Roman" w:hAnsi="Times New Roman" w:cs="Times New Roman"/>
          <w:sz w:val="24"/>
          <w:szCs w:val="24"/>
        </w:rPr>
        <w:t>use</w:t>
      </w:r>
      <w:proofErr w:type="gramEnd"/>
      <w:r w:rsidRPr="000F6FDD">
        <w:rPr>
          <w:rFonts w:ascii="Times New Roman" w:eastAsia="Times New Roman" w:hAnsi="Times New Roman" w:cs="Times New Roman"/>
          <w:sz w:val="24"/>
          <w:szCs w:val="24"/>
        </w:rPr>
        <w:t xml:space="preserve"> of telephone; </w:t>
      </w:r>
      <w:r w:rsidRPr="000F6FDD">
        <w:rPr>
          <w:rFonts w:ascii="Times New Roman" w:eastAsia="Times New Roman" w:hAnsi="Times New Roman" w:cs="Times New Roman"/>
          <w:sz w:val="24"/>
          <w:szCs w:val="24"/>
        </w:rPr>
        <w:br/>
        <w:t xml:space="preserve">(q) scholarship to the children of the employees. </w:t>
      </w:r>
    </w:p>
    <w:p w:rsidR="000F6FDD" w:rsidRDefault="000F6FDD" w:rsidP="000F6FDD">
      <w:pPr>
        <w:ind w:left="0" w:firstLine="0"/>
        <w:rPr>
          <w:rFonts w:ascii="Times New Roman" w:eastAsia="Times New Roman" w:hAnsi="Times New Roman" w:cs="Times New Roman"/>
          <w:sz w:val="24"/>
          <w:szCs w:val="24"/>
        </w:rPr>
      </w:pPr>
    </w:p>
    <w:p w:rsidR="000F6FDD" w:rsidRPr="000F6FDD" w:rsidRDefault="000F6FDD" w:rsidP="000F6FDD">
      <w:pPr>
        <w:ind w:left="0" w:firstLine="0"/>
        <w:rPr>
          <w:rFonts w:ascii="Times New Roman" w:eastAsia="Times New Roman" w:hAnsi="Times New Roman" w:cs="Times New Roman"/>
          <w:sz w:val="24"/>
          <w:szCs w:val="24"/>
        </w:rPr>
      </w:pPr>
    </w:p>
    <w:p w:rsidR="00C8293C" w:rsidRDefault="00C8293C"/>
    <w:sectPr w:rsidR="00C8293C" w:rsidSect="000F6FDD">
      <w:pgSz w:w="12240" w:h="15840"/>
      <w:pgMar w:top="720" w:right="1440"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Gautami">
    <w:panose1 w:val="02000500000000000000"/>
    <w:charset w:val="00"/>
    <w:family w:val="auto"/>
    <w:pitch w:val="variable"/>
    <w:sig w:usb0="002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5"/>
  <w:drawingGridVerticalSpacing w:val="187"/>
  <w:displayHorizontalDrawingGridEvery w:val="2"/>
  <w:characterSpacingControl w:val="doNotCompress"/>
  <w:compat/>
  <w:rsids>
    <w:rsidRoot w:val="000F6FDD"/>
    <w:rsid w:val="000F6FDD"/>
    <w:rsid w:val="0042113F"/>
    <w:rsid w:val="00B5054A"/>
    <w:rsid w:val="00C8293C"/>
    <w:rsid w:val="00DE37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lang w:val="en-US" w:eastAsia="en-US" w:bidi="ar-SA"/>
      </w:rPr>
    </w:rPrDefault>
    <w:pPrDefault>
      <w:pPr>
        <w:ind w:left="72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93C"/>
  </w:style>
  <w:style w:type="paragraph" w:styleId="Heading1">
    <w:name w:val="heading 1"/>
    <w:basedOn w:val="Normal"/>
    <w:link w:val="Heading1Char"/>
    <w:uiPriority w:val="9"/>
    <w:qFormat/>
    <w:rsid w:val="000F6FDD"/>
    <w:pPr>
      <w:spacing w:before="100" w:beforeAutospacing="1" w:after="100" w:afterAutospacing="1"/>
      <w:ind w:left="0" w:firstLine="0"/>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FDD"/>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524051582">
      <w:bodyDiv w:val="1"/>
      <w:marLeft w:val="0"/>
      <w:marRight w:val="0"/>
      <w:marTop w:val="0"/>
      <w:marBottom w:val="0"/>
      <w:divBdr>
        <w:top w:val="none" w:sz="0" w:space="0" w:color="auto"/>
        <w:left w:val="none" w:sz="0" w:space="0" w:color="auto"/>
        <w:bottom w:val="none" w:sz="0" w:space="0" w:color="auto"/>
        <w:right w:val="none" w:sz="0" w:space="0" w:color="auto"/>
      </w:divBdr>
      <w:divsChild>
        <w:div w:id="403991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2212</Characters>
  <Application>Microsoft Office Word</Application>
  <DocSecurity>0</DocSecurity>
  <Lines>18</Lines>
  <Paragraphs>5</Paragraphs>
  <ScaleCrop>false</ScaleCrop>
  <Company>laddu2</Company>
  <LinksUpToDate>false</LinksUpToDate>
  <CharactersWithSpaces>2595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dc:creator>
  <cp:keywords/>
  <dc:description/>
  <cp:lastModifiedBy>Kiran</cp:lastModifiedBy>
  <cp:revision>2</cp:revision>
  <dcterms:created xsi:type="dcterms:W3CDTF">2009-02-02T15:53:00Z</dcterms:created>
  <dcterms:modified xsi:type="dcterms:W3CDTF">2009-02-02T15:54:00Z</dcterms:modified>
</cp:coreProperties>
</file>